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9C8" w:rsidRPr="008969C8" w:rsidRDefault="008969C8" w:rsidP="008969C8">
      <w:pPr>
        <w:pStyle w:val="1"/>
        <w:spacing w:before="0" w:after="300" w:line="495" w:lineRule="atLeast"/>
        <w:jc w:val="center"/>
        <w:textAlignment w:val="baseline"/>
        <w:rPr>
          <w:sz w:val="44"/>
        </w:rPr>
      </w:pPr>
      <w:bookmarkStart w:id="0" w:name="_GoBack"/>
      <w:bookmarkEnd w:id="0"/>
      <w:r>
        <w:rPr>
          <w:sz w:val="44"/>
        </w:rPr>
        <w:t>Использование данных НСЗ</w:t>
      </w:r>
      <w:r w:rsidRPr="008969C8">
        <w:rPr>
          <w:sz w:val="44"/>
        </w:rPr>
        <w:t xml:space="preserve"> для эффективного планирования расходов в масштабах государства при внедрении ОСМС</w:t>
      </w:r>
    </w:p>
    <w:p w:rsidR="00FF0DCF" w:rsidRPr="00B93282" w:rsidRDefault="00FF0DCF" w:rsidP="00B76FBA">
      <w:pPr>
        <w:pStyle w:val="ad"/>
        <w:spacing w:after="0"/>
        <w:jc w:val="center"/>
        <w:rPr>
          <w:sz w:val="44"/>
        </w:rPr>
      </w:pPr>
    </w:p>
    <w:p w:rsidR="00F77CAE" w:rsidRPr="00F160FF" w:rsidRDefault="00124F09" w:rsidP="00B76FB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60F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Авторы</w:t>
      </w:r>
      <w:r w:rsidRPr="00F160FF"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26"/>
          <w:szCs w:val="26"/>
        </w:rPr>
        <w:t>:</w:t>
      </w:r>
      <w:r w:rsidRPr="00F160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77CAE" w:rsidRPr="00F160FF">
        <w:rPr>
          <w:rFonts w:ascii="Times New Roman" w:hAnsi="Times New Roman" w:cs="Times New Roman"/>
          <w:i/>
          <w:sz w:val="28"/>
          <w:szCs w:val="28"/>
        </w:rPr>
        <w:t>Темекова З</w:t>
      </w:r>
      <w:r w:rsidR="00F160FF" w:rsidRPr="00F160FF">
        <w:rPr>
          <w:rFonts w:ascii="Times New Roman" w:hAnsi="Times New Roman" w:cs="Times New Roman"/>
          <w:i/>
          <w:sz w:val="28"/>
          <w:szCs w:val="28"/>
        </w:rPr>
        <w:t xml:space="preserve">.М., Ищанова А.Б, Республиканский центр развития здравоохранения МЗ РК   </w:t>
      </w:r>
    </w:p>
    <w:p w:rsidR="00F160FF" w:rsidRPr="00124F09" w:rsidRDefault="00F160FF" w:rsidP="004C505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160FF" w:rsidRPr="00124F09" w:rsidSect="004B754B">
          <w:footerReference w:type="default" r:id="rId8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40B01" w:rsidRPr="00B14053" w:rsidRDefault="00331ABA" w:rsidP="004C5055">
      <w:pPr>
        <w:pStyle w:val="2"/>
        <w:spacing w:before="0" w:after="120" w:line="240" w:lineRule="auto"/>
        <w:ind w:firstLine="709"/>
        <w:rPr>
          <w:color w:val="365F91" w:themeColor="accent1" w:themeShade="BF"/>
          <w:sz w:val="28"/>
          <w:szCs w:val="28"/>
        </w:rPr>
      </w:pPr>
      <w:r w:rsidRPr="00B14053">
        <w:rPr>
          <w:color w:val="365F91" w:themeColor="accent1" w:themeShade="BF"/>
          <w:sz w:val="28"/>
          <w:szCs w:val="28"/>
        </w:rPr>
        <w:lastRenderedPageBreak/>
        <w:t>Введение</w:t>
      </w:r>
    </w:p>
    <w:p w:rsidR="009558C9" w:rsidRDefault="009558C9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558C9" w:rsidSect="00FF0DCF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4B48BE" w:rsidRDefault="004B48BE" w:rsidP="0011419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8BE">
        <w:rPr>
          <w:rFonts w:ascii="Times New Roman" w:hAnsi="Times New Roman" w:cs="Times New Roman"/>
          <w:sz w:val="28"/>
          <w:szCs w:val="28"/>
        </w:rPr>
        <w:lastRenderedPageBreak/>
        <w:t>Во всем мире идет развитие систем здравоохранения, направленное на улучшение здоровья населения, что, однако, сопряжено с ощутимыми дополнительными затратами. Именно по этой причине получение более точной информации о финансировании системы здравоохранения становится важным элементом разработки политики здравоохранения.</w:t>
      </w:r>
    </w:p>
    <w:p w:rsidR="00FF0DCF" w:rsidRDefault="00640B01" w:rsidP="009558C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B01">
        <w:rPr>
          <w:rFonts w:ascii="Times New Roman" w:hAnsi="Times New Roman" w:cs="Times New Roman"/>
          <w:sz w:val="28"/>
          <w:szCs w:val="28"/>
        </w:rPr>
        <w:t>Эксперты в сфере здравоохранения используют Национальные Счета Здравоохранения (далее – НСЗ)</w:t>
      </w:r>
      <w:r w:rsidR="006D556F">
        <w:rPr>
          <w:rFonts w:ascii="Times New Roman" w:hAnsi="Times New Roman" w:cs="Times New Roman"/>
          <w:sz w:val="28"/>
          <w:szCs w:val="28"/>
        </w:rPr>
        <w:t>,</w:t>
      </w:r>
      <w:r w:rsidRPr="00640B01">
        <w:rPr>
          <w:rFonts w:ascii="Times New Roman" w:hAnsi="Times New Roman" w:cs="Times New Roman"/>
          <w:sz w:val="28"/>
          <w:szCs w:val="28"/>
        </w:rPr>
        <w:t xml:space="preserve"> разработанные для решения конкретных вопросов относительно состояния системы здравоохранения. </w:t>
      </w:r>
    </w:p>
    <w:p w:rsidR="009558C9" w:rsidRDefault="00640B01" w:rsidP="00641DD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B01">
        <w:rPr>
          <w:rFonts w:ascii="Times New Roman" w:hAnsi="Times New Roman" w:cs="Times New Roman"/>
          <w:sz w:val="28"/>
          <w:szCs w:val="28"/>
        </w:rPr>
        <w:lastRenderedPageBreak/>
        <w:t>С их помощью обеспечиваются систематические расчеты и представление данных о расходах на здравоохранение. Они отражают, сколько было израсходовано, где, на что и для кого, каким образом расходы меняются на протяжении времени, и позволяют сопоставить их с расходами в странах, находящихся в аналогичных условиях.</w:t>
      </w:r>
    </w:p>
    <w:p w:rsidR="009558C9" w:rsidRDefault="000D628D" w:rsidP="009558C9">
      <w:pPr>
        <w:spacing w:after="12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Цель данной</w:t>
      </w:r>
      <w:r w:rsidR="004A5C3E">
        <w:rPr>
          <w:rFonts w:ascii="Times New Roman" w:hAnsi="Times New Roman" w:cs="Times New Roman"/>
          <w:sz w:val="28"/>
          <w:szCs w:val="28"/>
        </w:rPr>
        <w:t xml:space="preserve"> </w:t>
      </w:r>
      <w:r w:rsidR="001354FB">
        <w:rPr>
          <w:rFonts w:ascii="Times New Roman" w:hAnsi="Times New Roman" w:cs="Times New Roman"/>
          <w:sz w:val="28"/>
          <w:szCs w:val="28"/>
        </w:rPr>
        <w:t>аналитической справки</w:t>
      </w:r>
      <w:r w:rsidR="004A5C3E">
        <w:rPr>
          <w:rFonts w:ascii="Times New Roman" w:hAnsi="Times New Roman" w:cs="Times New Roman"/>
          <w:sz w:val="28"/>
          <w:szCs w:val="28"/>
        </w:rPr>
        <w:t xml:space="preserve"> состоит в </w:t>
      </w:r>
      <w:r w:rsidR="00C34592">
        <w:rPr>
          <w:rFonts w:ascii="Times New Roman" w:hAnsi="Times New Roman" w:cs="Times New Roman"/>
          <w:sz w:val="28"/>
          <w:szCs w:val="28"/>
        </w:rPr>
        <w:t xml:space="preserve">обзоре </w:t>
      </w:r>
      <w:r>
        <w:rPr>
          <w:rFonts w:ascii="Times New Roman" w:hAnsi="Times New Roman" w:cs="Times New Roman"/>
          <w:sz w:val="28"/>
          <w:szCs w:val="28"/>
        </w:rPr>
        <w:t>расходования средств в системе здравоохранения, оценке</w:t>
      </w:r>
      <w:r w:rsidR="00C34592" w:rsidRPr="00C34592">
        <w:rPr>
          <w:rFonts w:ascii="Times New Roman" w:hAnsi="Times New Roman" w:cs="Times New Roman"/>
          <w:sz w:val="28"/>
          <w:szCs w:val="28"/>
        </w:rPr>
        <w:t xml:space="preserve"> использования ресурсов </w:t>
      </w:r>
      <w:r>
        <w:rPr>
          <w:rFonts w:ascii="Times New Roman" w:hAnsi="Times New Roman" w:cs="Times New Roman"/>
          <w:sz w:val="28"/>
          <w:szCs w:val="28"/>
        </w:rPr>
        <w:t>и выработке рекомендаций в целях нивелирования существующих рисков в систем</w:t>
      </w:r>
      <w:r w:rsidR="00FF0DCF">
        <w:rPr>
          <w:rFonts w:ascii="Times New Roman" w:hAnsi="Times New Roman" w:cs="Times New Roman"/>
          <w:sz w:val="28"/>
          <w:szCs w:val="28"/>
        </w:rPr>
        <w:t>е</w:t>
      </w:r>
      <w:r w:rsidR="00B14053">
        <w:rPr>
          <w:rFonts w:ascii="Times New Roman" w:hAnsi="Times New Roman" w:cs="Times New Roman"/>
          <w:sz w:val="28"/>
          <w:szCs w:val="28"/>
        </w:rPr>
        <w:t xml:space="preserve"> финансирования здравоохранения</w:t>
      </w:r>
      <w:r w:rsidR="0011036D" w:rsidRPr="0011036D">
        <w:rPr>
          <w:rFonts w:ascii="Times New Roman" w:hAnsi="Times New Roman" w:cs="Times New Roman"/>
          <w:sz w:val="28"/>
          <w:szCs w:val="28"/>
        </w:rPr>
        <w:t xml:space="preserve"> </w:t>
      </w:r>
      <w:r w:rsidR="002F7065">
        <w:rPr>
          <w:rFonts w:ascii="Times New Roman" w:hAnsi="Times New Roman" w:cs="Times New Roman"/>
          <w:sz w:val="28"/>
          <w:szCs w:val="28"/>
        </w:rPr>
        <w:t>Республики Казахстан</w:t>
      </w:r>
      <w:r w:rsidR="009558C9">
        <w:rPr>
          <w:rFonts w:ascii="Times New Roman" w:hAnsi="Times New Roman" w:cs="Times New Roman"/>
          <w:sz w:val="28"/>
          <w:szCs w:val="28"/>
        </w:rPr>
        <w:t>.</w:t>
      </w:r>
      <w:r w:rsidR="009558C9" w:rsidRPr="009558C9">
        <w:t xml:space="preserve"> </w:t>
      </w:r>
    </w:p>
    <w:p w:rsidR="006420C1" w:rsidRDefault="006420C1" w:rsidP="009558C9">
      <w:pPr>
        <w:spacing w:after="120" w:line="24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sectPr w:rsidR="006420C1" w:rsidSect="006420C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E34CF6" w:rsidRDefault="00E34CF6" w:rsidP="009558C9">
      <w:pPr>
        <w:spacing w:after="120" w:line="24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9558C9" w:rsidRPr="009558C9" w:rsidRDefault="009558C9" w:rsidP="009558C9">
      <w:pPr>
        <w:spacing w:after="120" w:line="240" w:lineRule="auto"/>
        <w:ind w:firstLine="709"/>
        <w:jc w:val="both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9558C9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Описание проблемы</w:t>
      </w:r>
    </w:p>
    <w:p w:rsidR="009558C9" w:rsidRPr="009558C9" w:rsidRDefault="009558C9" w:rsidP="009558C9">
      <w:pPr>
        <w:pStyle w:val="3"/>
        <w:ind w:firstLine="709"/>
        <w:rPr>
          <w:sz w:val="28"/>
        </w:rPr>
      </w:pPr>
      <w:r w:rsidRPr="009558C9">
        <w:rPr>
          <w:sz w:val="28"/>
        </w:rPr>
        <w:t>Расходы на здравоохранение в 2017 году</w:t>
      </w:r>
    </w:p>
    <w:p w:rsidR="006420C1" w:rsidRDefault="006420C1" w:rsidP="009558C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20C1" w:rsidSect="009558C9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9558C9" w:rsidRDefault="009558C9" w:rsidP="009558C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8C9">
        <w:rPr>
          <w:rFonts w:ascii="Times New Roman" w:hAnsi="Times New Roman" w:cs="Times New Roman"/>
          <w:sz w:val="28"/>
          <w:szCs w:val="28"/>
        </w:rPr>
        <w:lastRenderedPageBreak/>
        <w:t>Текущие расходы на здравоохранение (ТРЗ) в 2017 году составили 1 трлн. 656 млрд. тенге и показывают снижение</w:t>
      </w:r>
      <w:r>
        <w:rPr>
          <w:rFonts w:ascii="Times New Roman" w:hAnsi="Times New Roman" w:cs="Times New Roman"/>
          <w:sz w:val="28"/>
          <w:szCs w:val="28"/>
        </w:rPr>
        <w:t xml:space="preserve"> в номинальном выражении</w:t>
      </w:r>
      <w:r w:rsidRPr="009558C9">
        <w:rPr>
          <w:rFonts w:ascii="Times New Roman" w:hAnsi="Times New Roman" w:cs="Times New Roman"/>
          <w:sz w:val="28"/>
          <w:szCs w:val="28"/>
        </w:rPr>
        <w:t xml:space="preserve"> на 2,7% по </w:t>
      </w:r>
      <w:r w:rsidRPr="009558C9">
        <w:rPr>
          <w:rFonts w:ascii="Times New Roman" w:hAnsi="Times New Roman" w:cs="Times New Roman"/>
          <w:sz w:val="28"/>
          <w:szCs w:val="28"/>
        </w:rPr>
        <w:lastRenderedPageBreak/>
        <w:t>сравнению с предыдущим годом (1 трлн. 612 млрд. тенге). ТРЗ составили 3,1% от ВВП, что более чем в 2 раза меньше среднего показателя сред</w:t>
      </w:r>
      <w:r>
        <w:rPr>
          <w:rFonts w:ascii="Times New Roman" w:hAnsi="Times New Roman" w:cs="Times New Roman"/>
          <w:sz w:val="28"/>
          <w:szCs w:val="28"/>
        </w:rPr>
        <w:t>и стран ОЭСР в 2017 году(8,8%).</w:t>
      </w:r>
    </w:p>
    <w:p w:rsidR="009558C9" w:rsidRDefault="009558C9" w:rsidP="009558C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558C9" w:rsidSect="006420C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FF0DCF" w:rsidRPr="00FF0DCF" w:rsidRDefault="009558C9" w:rsidP="009558C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F0DCF" w:rsidRPr="00FF0DCF" w:rsidSect="009558C9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 wp14:anchorId="05E640D5" wp14:editId="6D51DE67">
            <wp:extent cx="6175169" cy="2327564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D1F83" w:rsidRPr="00221469" w:rsidRDefault="009558C9" w:rsidP="009558C9">
      <w:pPr>
        <w:autoSpaceDE w:val="0"/>
        <w:autoSpaceDN w:val="0"/>
        <w:adjustRightInd w:val="0"/>
        <w:spacing w:after="120" w:line="240" w:lineRule="auto"/>
        <w:outlineLvl w:val="0"/>
        <w:rPr>
          <w:rFonts w:ascii="Times New Roman" w:hAnsi="Times New Roman" w:cs="Times New Roman"/>
          <w:sz w:val="28"/>
        </w:rPr>
        <w:sectPr w:rsidR="002D1F83" w:rsidRPr="00221469" w:rsidSect="00FF0DCF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 xml:space="preserve">     </w:t>
      </w:r>
      <w:r w:rsidR="00A1330A"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1. </w:t>
      </w:r>
      <w:r>
        <w:rPr>
          <w:rFonts w:ascii="Times New Roman" w:hAnsi="Times New Roman" w:cs="Times New Roman"/>
          <w:b/>
          <w:i/>
          <w:szCs w:val="28"/>
          <w:lang w:val="kk-KZ"/>
        </w:rPr>
        <w:t>Текущие</w:t>
      </w:r>
      <w:r w:rsidR="00A1330A">
        <w:rPr>
          <w:rFonts w:ascii="Times New Roman" w:hAnsi="Times New Roman" w:cs="Times New Roman"/>
          <w:b/>
          <w:i/>
          <w:szCs w:val="28"/>
          <w:lang w:val="kk-KZ"/>
        </w:rPr>
        <w:t xml:space="preserve"> расходы на здравоохранение (</w:t>
      </w:r>
      <w:r>
        <w:rPr>
          <w:rFonts w:ascii="Times New Roman" w:hAnsi="Times New Roman" w:cs="Times New Roman"/>
          <w:b/>
          <w:i/>
          <w:szCs w:val="28"/>
          <w:lang w:val="kk-KZ"/>
        </w:rPr>
        <w:t>Т</w:t>
      </w:r>
      <w:r w:rsidR="00A1330A">
        <w:rPr>
          <w:rFonts w:ascii="Times New Roman" w:hAnsi="Times New Roman" w:cs="Times New Roman"/>
          <w:b/>
          <w:i/>
          <w:szCs w:val="28"/>
          <w:lang w:val="kk-KZ"/>
        </w:rPr>
        <w:t xml:space="preserve">РЗ) и доли </w:t>
      </w:r>
      <w:r>
        <w:rPr>
          <w:rFonts w:ascii="Times New Roman" w:hAnsi="Times New Roman" w:cs="Times New Roman"/>
          <w:b/>
          <w:i/>
          <w:szCs w:val="28"/>
          <w:lang w:val="kk-KZ"/>
        </w:rPr>
        <w:t xml:space="preserve">ТРЗ </w:t>
      </w:r>
      <w:r w:rsidR="00A1330A">
        <w:rPr>
          <w:rFonts w:ascii="Times New Roman" w:hAnsi="Times New Roman" w:cs="Times New Roman"/>
          <w:b/>
          <w:i/>
          <w:szCs w:val="28"/>
          <w:lang w:val="kk-KZ"/>
        </w:rPr>
        <w:t>от ВВП в 2010-2017 годы</w:t>
      </w:r>
    </w:p>
    <w:p w:rsidR="002D1F83" w:rsidRDefault="00B76FBA" w:rsidP="00B76FB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</w:rPr>
        <w:sectPr w:rsidR="002D1F83" w:rsidSect="006420C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 xml:space="preserve">В структуре текущих расходов государственные расходы составляют 62%, </w:t>
      </w:r>
      <w:r w:rsidR="006C5280">
        <w:rPr>
          <w:rFonts w:ascii="Times New Roman" w:hAnsi="Times New Roman" w:cs="Times New Roman"/>
          <w:sz w:val="28"/>
        </w:rPr>
        <w:t>частные расходы 37,9</w:t>
      </w:r>
      <w:r>
        <w:rPr>
          <w:rFonts w:ascii="Times New Roman" w:hAnsi="Times New Roman" w:cs="Times New Roman"/>
          <w:sz w:val="28"/>
        </w:rPr>
        <w:t xml:space="preserve">% (из них прямые платежи 33,2% </w:t>
      </w:r>
      <w:r>
        <w:rPr>
          <w:rFonts w:ascii="Times New Roman" w:hAnsi="Times New Roman" w:cs="Times New Roman"/>
          <w:sz w:val="28"/>
        </w:rPr>
        <w:lastRenderedPageBreak/>
        <w:t>и взносы предпри</w:t>
      </w:r>
      <w:r w:rsidR="006C5280">
        <w:rPr>
          <w:rFonts w:ascii="Times New Roman" w:hAnsi="Times New Roman" w:cs="Times New Roman"/>
          <w:sz w:val="28"/>
        </w:rPr>
        <w:t>ятий и ДМС 4,7</w:t>
      </w:r>
      <w:r>
        <w:rPr>
          <w:rFonts w:ascii="Times New Roman" w:hAnsi="Times New Roman" w:cs="Times New Roman"/>
          <w:sz w:val="28"/>
        </w:rPr>
        <w:t>%), а также международные трансферты составили 0,3%.</w:t>
      </w:r>
    </w:p>
    <w:p w:rsidR="006420C1" w:rsidRDefault="006420C1" w:rsidP="00B76FBA">
      <w:pPr>
        <w:spacing w:after="120" w:line="240" w:lineRule="auto"/>
        <w:jc w:val="both"/>
        <w:rPr>
          <w:rFonts w:ascii="Times New Roman" w:hAnsi="Times New Roman" w:cs="Times New Roman"/>
          <w:sz w:val="28"/>
        </w:rPr>
        <w:sectPr w:rsidR="006420C1" w:rsidSect="00E6227E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2D1F83" w:rsidRPr="002D1F83" w:rsidRDefault="00B76FBA" w:rsidP="00B76FBA">
      <w:pPr>
        <w:spacing w:after="120" w:line="240" w:lineRule="auto"/>
        <w:jc w:val="both"/>
        <w:rPr>
          <w:rFonts w:ascii="Times New Roman" w:hAnsi="Times New Roman" w:cs="Times New Roman"/>
          <w:sz w:val="28"/>
        </w:rPr>
        <w:sectPr w:rsidR="002D1F83" w:rsidRPr="002D1F83" w:rsidSect="00E6227E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rFonts w:cs="Times New Roman"/>
          <w:bCs/>
          <w:noProof/>
          <w:szCs w:val="28"/>
          <w:lang w:eastAsia="ru-RU"/>
        </w:rPr>
        <w:lastRenderedPageBreak/>
        <w:drawing>
          <wp:inline distT="0" distB="0" distL="0" distR="0" wp14:anchorId="5672CAAC" wp14:editId="0CD617FB">
            <wp:extent cx="5252484" cy="1881963"/>
            <wp:effectExtent l="0" t="0" r="5715" b="444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A698A" w:rsidRDefault="00B76FBA" w:rsidP="00B76FBA">
      <w:pPr>
        <w:spacing w:after="120" w:line="240" w:lineRule="auto"/>
        <w:jc w:val="both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</w:t>
      </w:r>
      <w:r w:rsidR="00674B6B"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2. </w:t>
      </w:r>
      <w:r w:rsidR="00B31046" w:rsidRPr="00B31046">
        <w:rPr>
          <w:rFonts w:ascii="Times New Roman" w:hAnsi="Times New Roman" w:cs="Times New Roman"/>
          <w:b/>
          <w:i/>
          <w:szCs w:val="28"/>
          <w:lang w:val="kk-KZ"/>
        </w:rPr>
        <w:t xml:space="preserve">Структура </w:t>
      </w:r>
      <w:r w:rsidR="00641DD8">
        <w:rPr>
          <w:rFonts w:ascii="Times New Roman" w:hAnsi="Times New Roman" w:cs="Times New Roman"/>
          <w:b/>
          <w:i/>
          <w:szCs w:val="28"/>
          <w:lang w:val="kk-KZ"/>
        </w:rPr>
        <w:t>текущих</w:t>
      </w:r>
      <w:r w:rsidR="00B31046" w:rsidRPr="00B31046">
        <w:rPr>
          <w:rFonts w:ascii="Times New Roman" w:hAnsi="Times New Roman" w:cs="Times New Roman"/>
          <w:b/>
          <w:i/>
          <w:szCs w:val="28"/>
          <w:lang w:val="kk-KZ"/>
        </w:rPr>
        <w:t xml:space="preserve"> расходов на здравоохранение в 2017 году</w:t>
      </w:r>
    </w:p>
    <w:p w:rsidR="006420C1" w:rsidRDefault="006420C1" w:rsidP="00777CA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6420C1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420C1" w:rsidRPr="006420C1" w:rsidRDefault="002925AF" w:rsidP="000617DD">
      <w:pPr>
        <w:spacing w:after="120" w:line="240" w:lineRule="auto"/>
        <w:ind w:firstLine="567"/>
        <w:jc w:val="both"/>
        <w:sectPr w:rsidR="006420C1" w:rsidRPr="006420C1" w:rsidSect="006420C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  <w:r w:rsidRPr="008969C8">
        <w:rPr>
          <w:rFonts w:ascii="Times New Roman" w:hAnsi="Times New Roman" w:cs="Times New Roman"/>
          <w:sz w:val="28"/>
        </w:rPr>
        <w:lastRenderedPageBreak/>
        <w:t>Текущие расходы на душу населения в 2017 году</w:t>
      </w:r>
      <w:r w:rsidR="00235800" w:rsidRPr="008969C8">
        <w:rPr>
          <w:rFonts w:ascii="Times New Roman" w:hAnsi="Times New Roman" w:cs="Times New Roman"/>
          <w:sz w:val="28"/>
        </w:rPr>
        <w:t xml:space="preserve"> составили 91 тыс. тенге или 280 долл. США по средневзвешенному курсу тенге. </w:t>
      </w:r>
      <w:r w:rsidR="00777CA4" w:rsidRPr="008969C8">
        <w:rPr>
          <w:rFonts w:ascii="Times New Roman" w:hAnsi="Times New Roman" w:cs="Times New Roman"/>
          <w:sz w:val="28"/>
        </w:rPr>
        <w:t xml:space="preserve">За </w:t>
      </w:r>
      <w:r w:rsidR="00777CA4" w:rsidRPr="008969C8">
        <w:rPr>
          <w:rFonts w:ascii="Times New Roman" w:hAnsi="Times New Roman" w:cs="Times New Roman"/>
          <w:sz w:val="28"/>
        </w:rPr>
        <w:lastRenderedPageBreak/>
        <w:t xml:space="preserve">последниее 5 лет расходы на душу населения сократились с 368 долл. США до 280 в 2017. </w:t>
      </w:r>
    </w:p>
    <w:p w:rsidR="00365961" w:rsidRDefault="00FA6A17" w:rsidP="00071B12">
      <w:pPr>
        <w:pStyle w:val="a5"/>
        <w:spacing w:after="120" w:line="240" w:lineRule="auto"/>
        <w:ind w:left="709"/>
        <w:rPr>
          <w:rFonts w:ascii="Times New Roman" w:hAnsi="Times New Roman" w:cs="Times New Roman"/>
          <w:b/>
          <w:szCs w:val="28"/>
          <w:lang w:val="kk-KZ"/>
        </w:rPr>
        <w:sectPr w:rsidR="00365961" w:rsidSect="00365961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 wp14:anchorId="0D7EABAE" wp14:editId="4F8CE829">
            <wp:extent cx="5486400" cy="2185059"/>
            <wp:effectExtent l="0" t="0" r="19050" b="24765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65961" w:rsidRPr="00365961" w:rsidRDefault="006420C1" w:rsidP="00365961">
      <w:pPr>
        <w:pStyle w:val="a5"/>
        <w:spacing w:after="120" w:line="240" w:lineRule="auto"/>
        <w:ind w:left="709"/>
        <w:rPr>
          <w:rFonts w:ascii="Times New Roman" w:eastAsiaTheme="minorHAnsi" w:hAnsi="Times New Roman" w:cs="Times New Roman"/>
          <w:b/>
          <w:iCs w:val="0"/>
          <w:color w:val="auto"/>
          <w:spacing w:val="0"/>
          <w:sz w:val="22"/>
          <w:szCs w:val="28"/>
          <w:lang w:val="kk-KZ"/>
        </w:rPr>
      </w:pPr>
      <w:r w:rsidRPr="006420C1">
        <w:rPr>
          <w:rFonts w:ascii="Times New Roman" w:hAnsi="Times New Roman" w:cs="Times New Roman"/>
          <w:b/>
          <w:szCs w:val="28"/>
          <w:lang w:val="kk-KZ"/>
        </w:rPr>
        <w:lastRenderedPageBreak/>
        <w:t xml:space="preserve"> </w:t>
      </w:r>
      <w:r w:rsidR="00365961" w:rsidRPr="006420C1">
        <w:rPr>
          <w:rFonts w:ascii="Times New Roman" w:eastAsiaTheme="minorHAnsi" w:hAnsi="Times New Roman" w:cs="Times New Roman"/>
          <w:b/>
          <w:iCs w:val="0"/>
          <w:color w:val="auto"/>
          <w:spacing w:val="0"/>
          <w:sz w:val="22"/>
          <w:szCs w:val="28"/>
          <w:lang w:val="kk-KZ"/>
        </w:rPr>
        <w:t xml:space="preserve">Рисунок </w:t>
      </w:r>
      <w:r w:rsidR="00365961">
        <w:rPr>
          <w:rFonts w:ascii="Times New Roman" w:eastAsiaTheme="minorHAnsi" w:hAnsi="Times New Roman" w:cs="Times New Roman"/>
          <w:b/>
          <w:iCs w:val="0"/>
          <w:color w:val="auto"/>
          <w:spacing w:val="0"/>
          <w:sz w:val="22"/>
          <w:szCs w:val="28"/>
          <w:lang w:val="kk-KZ"/>
        </w:rPr>
        <w:t>3</w:t>
      </w:r>
      <w:r w:rsidR="00365961" w:rsidRPr="006420C1">
        <w:rPr>
          <w:rFonts w:ascii="Times New Roman" w:eastAsiaTheme="minorHAnsi" w:hAnsi="Times New Roman" w:cs="Times New Roman"/>
          <w:b/>
          <w:iCs w:val="0"/>
          <w:color w:val="auto"/>
          <w:spacing w:val="0"/>
          <w:sz w:val="22"/>
          <w:szCs w:val="28"/>
          <w:lang w:val="kk-KZ"/>
        </w:rPr>
        <w:t xml:space="preserve">. </w:t>
      </w:r>
      <w:r w:rsidR="00365961">
        <w:rPr>
          <w:rFonts w:ascii="Times New Roman" w:eastAsiaTheme="minorHAnsi" w:hAnsi="Times New Roman" w:cs="Times New Roman"/>
          <w:b/>
          <w:iCs w:val="0"/>
          <w:color w:val="auto"/>
          <w:spacing w:val="0"/>
          <w:sz w:val="22"/>
          <w:szCs w:val="28"/>
          <w:lang w:val="kk-KZ"/>
        </w:rPr>
        <w:t>Текущие расходы на душу населения в долл. США и заработная плата медицинских работников в реальном выражении</w:t>
      </w:r>
    </w:p>
    <w:p w:rsidR="00365961" w:rsidRDefault="00365961" w:rsidP="00071B12">
      <w:pPr>
        <w:pStyle w:val="a5"/>
        <w:spacing w:after="120" w:line="240" w:lineRule="auto"/>
        <w:ind w:left="709"/>
        <w:rPr>
          <w:rFonts w:ascii="Times New Roman" w:hAnsi="Times New Roman" w:cs="Times New Roman"/>
          <w:b/>
          <w:szCs w:val="28"/>
          <w:lang w:val="kk-KZ"/>
        </w:rPr>
        <w:sectPr w:rsidR="00365961" w:rsidSect="000617DD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0617DD" w:rsidRDefault="000617DD" w:rsidP="00365961">
      <w:pPr>
        <w:pStyle w:val="a5"/>
        <w:spacing w:after="120" w:line="240" w:lineRule="auto"/>
        <w:ind w:firstLine="709"/>
        <w:rPr>
          <w:sz w:val="28"/>
        </w:rPr>
        <w:sectPr w:rsidR="000617DD" w:rsidSect="00365961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365961" w:rsidRPr="00365961" w:rsidRDefault="00365961" w:rsidP="00365961">
      <w:pPr>
        <w:pStyle w:val="a5"/>
        <w:spacing w:after="120" w:line="240" w:lineRule="auto"/>
        <w:ind w:firstLine="709"/>
        <w:rPr>
          <w:sz w:val="28"/>
        </w:rPr>
      </w:pPr>
      <w:r w:rsidRPr="00B14053">
        <w:rPr>
          <w:sz w:val="28"/>
        </w:rPr>
        <w:lastRenderedPageBreak/>
        <w:t>Государственные расходы</w:t>
      </w:r>
    </w:p>
    <w:p w:rsidR="00365961" w:rsidRDefault="00365961" w:rsidP="0036596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365961" w:rsidSect="00365961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365961" w:rsidRDefault="00365961" w:rsidP="0036596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Государственные расходы на здравоохранение в 2017 году составили 1 трлн. 024 млрд. тг. или  1,9% ВВП. Аналогичный средний показатель среди стран ОЭСР в 2017 году составил 6,3% ВВП. Государственные расходы на здравоохранение на душу населения в Казахстане составили 56 389 тенге.</w:t>
      </w:r>
    </w:p>
    <w:p w:rsidR="00365961" w:rsidRPr="00026D3F" w:rsidRDefault="00365961" w:rsidP="0036596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3F">
        <w:rPr>
          <w:rFonts w:ascii="Times New Roman" w:hAnsi="Times New Roman" w:cs="Times New Roman"/>
          <w:sz w:val="28"/>
          <w:szCs w:val="28"/>
        </w:rPr>
        <w:t>В разрезе уровней государственного бюджета, 66% расходов понесли государственные органы республиканского уровня, 34% – местного уровня (с учетом трансфертов с республиканского уровня – 28%).</w:t>
      </w:r>
    </w:p>
    <w:p w:rsidR="00365961" w:rsidRPr="00071B12" w:rsidRDefault="00365961" w:rsidP="0036596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D3F">
        <w:rPr>
          <w:rFonts w:ascii="Times New Roman" w:hAnsi="Times New Roman" w:cs="Times New Roman"/>
          <w:sz w:val="28"/>
          <w:szCs w:val="28"/>
        </w:rPr>
        <w:t xml:space="preserve">Суммарные расходы государственных органов системы здравоохранения (Министерства здравоохранения РК и управлений здравоохранения областей и городов </w:t>
      </w:r>
      <w:r w:rsidRPr="00026D3F">
        <w:rPr>
          <w:rFonts w:ascii="Times New Roman" w:hAnsi="Times New Roman" w:cs="Times New Roman"/>
          <w:sz w:val="28"/>
          <w:szCs w:val="28"/>
        </w:rPr>
        <w:lastRenderedPageBreak/>
        <w:t>республиканского значения)</w:t>
      </w:r>
      <w:r>
        <w:rPr>
          <w:rFonts w:ascii="Times New Roman" w:hAnsi="Times New Roman" w:cs="Times New Roman"/>
          <w:sz w:val="28"/>
          <w:szCs w:val="28"/>
        </w:rPr>
        <w:t xml:space="preserve"> составили 963 млрд.тг., или 1,</w:t>
      </w:r>
      <w:r w:rsidRPr="00C450C8">
        <w:rPr>
          <w:rFonts w:ascii="Times New Roman" w:hAnsi="Times New Roman" w:cs="Times New Roman"/>
          <w:sz w:val="28"/>
          <w:szCs w:val="28"/>
        </w:rPr>
        <w:t>8</w:t>
      </w:r>
      <w:r w:rsidRPr="00026D3F">
        <w:rPr>
          <w:rFonts w:ascii="Times New Roman" w:hAnsi="Times New Roman" w:cs="Times New Roman"/>
          <w:sz w:val="28"/>
          <w:szCs w:val="28"/>
        </w:rPr>
        <w:t>% ВВП.</w:t>
      </w:r>
    </w:p>
    <w:p w:rsidR="00365961" w:rsidRPr="00365961" w:rsidRDefault="00365961" w:rsidP="000617DD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65961" w:rsidRPr="00365961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  <w:r w:rsidRPr="00026D3F">
        <w:rPr>
          <w:rFonts w:ascii="Times New Roman" w:hAnsi="Times New Roman" w:cs="Times New Roman"/>
          <w:sz w:val="28"/>
          <w:szCs w:val="28"/>
        </w:rPr>
        <w:t>Государственные расходы в 2017 году (1 трлн. 024 млрд. тенге) выросли по сравнению с предыдущим годом (948 млрд. тенге) на 8%</w:t>
      </w:r>
      <w:r w:rsidRPr="00512D7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в 2.5 раза по сравнению с 2010 годом в номинальном значении. В реальном значении, учитывая инфляцию, рост в 2017 году составляет всего лишь 0,8% в сравнении с предыдущим годом.  </w:t>
      </w:r>
      <w:r w:rsidRPr="00026D3F">
        <w:rPr>
          <w:rFonts w:ascii="Times New Roman" w:hAnsi="Times New Roman" w:cs="Times New Roman"/>
          <w:sz w:val="28"/>
          <w:szCs w:val="28"/>
        </w:rPr>
        <w:t xml:space="preserve">  Процентные доли государственных расходов от ВВП в 2010 – 2017 гг. колебались вокруг значения в 1,8-2,1%. После роста в 2012 году этот показатель пришел к значению 1,8% в 2013 году и вырос до значения 2,0% к 2016 году, </w:t>
      </w:r>
      <w:r>
        <w:rPr>
          <w:rFonts w:ascii="Times New Roman" w:hAnsi="Times New Roman" w:cs="Times New Roman"/>
          <w:sz w:val="28"/>
          <w:szCs w:val="28"/>
        </w:rPr>
        <w:t>сократившись до 1,9% в 2017 году</w:t>
      </w:r>
      <w:r w:rsidR="000617DD">
        <w:rPr>
          <w:rFonts w:ascii="Times New Roman" w:hAnsi="Times New Roman" w:cs="Times New Roman"/>
          <w:sz w:val="28"/>
          <w:szCs w:val="28"/>
        </w:rPr>
        <w:t>.</w:t>
      </w:r>
    </w:p>
    <w:p w:rsidR="00365961" w:rsidRDefault="00365961" w:rsidP="002176CD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  <w:sectPr w:rsidR="00365961" w:rsidSect="00365961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365961" w:rsidRDefault="00365961" w:rsidP="00223DE7">
      <w:pPr>
        <w:pStyle w:val="a5"/>
        <w:spacing w:after="120" w:line="240" w:lineRule="auto"/>
        <w:ind w:firstLine="709"/>
        <w:rPr>
          <w:sz w:val="28"/>
        </w:rPr>
      </w:pPr>
    </w:p>
    <w:p w:rsidR="00365961" w:rsidRDefault="00365961" w:rsidP="00365961">
      <w:pPr>
        <w:tabs>
          <w:tab w:val="left" w:pos="0"/>
        </w:tabs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65961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365961" w:rsidRPr="00365961" w:rsidRDefault="00365961" w:rsidP="00365961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  <w:sectPr w:rsidR="00365961" w:rsidRPr="00365961" w:rsidSect="009A5E35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 wp14:anchorId="6442990A" wp14:editId="69F60E77">
            <wp:extent cx="5937662" cy="2933206"/>
            <wp:effectExtent l="0" t="0" r="63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71B12" w:rsidRPr="00512D7F" w:rsidRDefault="00071B12" w:rsidP="00365961">
      <w:pPr>
        <w:tabs>
          <w:tab w:val="left" w:pos="-142"/>
        </w:tabs>
        <w:spacing w:after="12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lastRenderedPageBreak/>
        <w:t>Рисунок 3. Номинальные и реальные (в ценах 2010 года) государственные расходы на здравоохранение в динамике, в млрд. тенге.</w:t>
      </w:r>
    </w:p>
    <w:p w:rsidR="00071B12" w:rsidRPr="00071B12" w:rsidRDefault="00071B12" w:rsidP="0036596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071B12" w:rsidRPr="00071B12" w:rsidSect="009A5E35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071B12" w:rsidRPr="00365961" w:rsidRDefault="00365961" w:rsidP="0036596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71B12" w:rsidRPr="00365961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В структуре</w:t>
      </w:r>
      <w:r w:rsidRPr="00A313D4">
        <w:rPr>
          <w:rFonts w:ascii="Times New Roman" w:hAnsi="Times New Roman" w:cs="Times New Roman"/>
          <w:sz w:val="28"/>
          <w:szCs w:val="28"/>
        </w:rPr>
        <w:t xml:space="preserve"> государственных расходов на здравоохранение 4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313D4">
        <w:rPr>
          <w:rFonts w:ascii="Times New Roman" w:hAnsi="Times New Roman" w:cs="Times New Roman"/>
          <w:sz w:val="28"/>
          <w:szCs w:val="28"/>
        </w:rPr>
        <w:t>,3%</w:t>
      </w:r>
      <w:r>
        <w:rPr>
          <w:rFonts w:ascii="Times New Roman" w:hAnsi="Times New Roman" w:cs="Times New Roman"/>
          <w:sz w:val="28"/>
          <w:szCs w:val="28"/>
        </w:rPr>
        <w:t xml:space="preserve">  занимает стационарная помощь,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28,2% </w:t>
      </w:r>
      <w:r w:rsidRPr="00A313D4">
        <w:rPr>
          <w:rFonts w:ascii="Times New Roman" w:hAnsi="Times New Roman" w:cs="Times New Roman"/>
          <w:sz w:val="28"/>
          <w:szCs w:val="28"/>
        </w:rPr>
        <w:t>амбу</w:t>
      </w:r>
      <w:r>
        <w:rPr>
          <w:rFonts w:ascii="Times New Roman" w:hAnsi="Times New Roman" w:cs="Times New Roman"/>
          <w:sz w:val="28"/>
          <w:szCs w:val="28"/>
        </w:rPr>
        <w:t xml:space="preserve">латорно-поликлиническая помощь и 3,7% услуги дневного стационара. </w:t>
      </w:r>
      <w:r>
        <w:rPr>
          <w:rFonts w:ascii="Times New Roman" w:hAnsi="Times New Roman" w:cs="Times New Roman"/>
          <w:sz w:val="28"/>
          <w:szCs w:val="28"/>
        </w:rPr>
        <w:lastRenderedPageBreak/>
        <w:t>Амбулаторное лекарственное обеспечение</w:t>
      </w:r>
      <w:r w:rsidRPr="00A313D4">
        <w:rPr>
          <w:rFonts w:ascii="Times New Roman" w:hAnsi="Times New Roman" w:cs="Times New Roman"/>
          <w:sz w:val="28"/>
          <w:szCs w:val="28"/>
        </w:rPr>
        <w:t xml:space="preserve">  обходится в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313D4">
        <w:rPr>
          <w:rFonts w:ascii="Times New Roman" w:hAnsi="Times New Roman" w:cs="Times New Roman"/>
          <w:sz w:val="28"/>
          <w:szCs w:val="28"/>
        </w:rPr>
        <w:t xml:space="preserve">% государственных расходов. На </w:t>
      </w:r>
      <w:r>
        <w:rPr>
          <w:rFonts w:ascii="Times New Roman" w:hAnsi="Times New Roman" w:cs="Times New Roman"/>
          <w:sz w:val="28"/>
          <w:szCs w:val="28"/>
        </w:rPr>
        <w:t>услуги общественного здравоохранения</w:t>
      </w:r>
      <w:r w:rsidRPr="00A313D4">
        <w:rPr>
          <w:rFonts w:ascii="Times New Roman" w:hAnsi="Times New Roman" w:cs="Times New Roman"/>
          <w:sz w:val="28"/>
          <w:szCs w:val="28"/>
        </w:rPr>
        <w:t xml:space="preserve"> направлялось </w:t>
      </w:r>
      <w:r>
        <w:rPr>
          <w:rFonts w:ascii="Times New Roman" w:hAnsi="Times New Roman" w:cs="Times New Roman"/>
          <w:sz w:val="28"/>
          <w:szCs w:val="28"/>
        </w:rPr>
        <w:t>4%</w:t>
      </w:r>
      <w:r w:rsidRPr="00A313D4">
        <w:rPr>
          <w:rFonts w:ascii="Times New Roman" w:hAnsi="Times New Roman" w:cs="Times New Roman"/>
          <w:sz w:val="28"/>
          <w:szCs w:val="28"/>
        </w:rPr>
        <w:t xml:space="preserve"> </w:t>
      </w:r>
      <w:r w:rsidRPr="00A313D4">
        <w:rPr>
          <w:rFonts w:ascii="Times New Roman" w:hAnsi="Times New Roman" w:cs="Times New Roman"/>
          <w:sz w:val="28"/>
          <w:szCs w:val="28"/>
        </w:rPr>
        <w:lastRenderedPageBreak/>
        <w:t xml:space="preserve">средств, </w:t>
      </w:r>
      <w:r>
        <w:rPr>
          <w:rFonts w:ascii="Times New Roman" w:hAnsi="Times New Roman" w:cs="Times New Roman"/>
          <w:sz w:val="28"/>
          <w:szCs w:val="28"/>
        </w:rPr>
        <w:t>5% на профилактику</w:t>
      </w:r>
      <w:r w:rsidRPr="00A313D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6,8 на прочие услуги, и </w:t>
      </w:r>
      <w:r w:rsidRPr="00A313D4">
        <w:rPr>
          <w:rFonts w:ascii="Times New Roman" w:hAnsi="Times New Roman" w:cs="Times New Roman"/>
          <w:sz w:val="28"/>
          <w:szCs w:val="28"/>
        </w:rPr>
        <w:t>лишь 0,05% государственных средств расходовались в 2017 году на реабилитационную помощь.</w:t>
      </w:r>
    </w:p>
    <w:p w:rsidR="00365961" w:rsidRPr="00133D2E" w:rsidRDefault="00365961" w:rsidP="0036596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365961" w:rsidRPr="00133D2E" w:rsidSect="004367E1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 w:rsidRPr="00514A49">
        <w:rPr>
          <w:rFonts w:eastAsia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D27DD91" wp14:editId="2D6BEEAD">
            <wp:extent cx="6120130" cy="3032149"/>
            <wp:effectExtent l="0" t="0" r="0" b="0"/>
            <wp:docPr id="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D1F83" w:rsidRDefault="00365961" w:rsidP="00365961">
      <w:pPr>
        <w:spacing w:after="120" w:line="240" w:lineRule="auto"/>
        <w:jc w:val="both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lastRenderedPageBreak/>
        <w:t xml:space="preserve">Рисунок 4. </w:t>
      </w:r>
      <w:r w:rsidRPr="00F614B7">
        <w:rPr>
          <w:rFonts w:ascii="Times New Roman" w:hAnsi="Times New Roman" w:cs="Times New Roman"/>
          <w:b/>
          <w:i/>
          <w:szCs w:val="28"/>
          <w:lang w:val="kk-KZ"/>
        </w:rPr>
        <w:t>Распределение госу</w:t>
      </w:r>
      <w:r>
        <w:rPr>
          <w:rFonts w:ascii="Times New Roman" w:hAnsi="Times New Roman" w:cs="Times New Roman"/>
          <w:b/>
          <w:i/>
          <w:szCs w:val="28"/>
          <w:lang w:val="kk-KZ"/>
        </w:rPr>
        <w:t>дарственных расходов по услугам, в %</w:t>
      </w:r>
    </w:p>
    <w:p w:rsidR="00365961" w:rsidRPr="007331D3" w:rsidRDefault="00365961" w:rsidP="0036596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365961" w:rsidRPr="007331D3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133D2E" w:rsidRPr="007D1288" w:rsidRDefault="00133D2E" w:rsidP="00365961">
      <w:pPr>
        <w:spacing w:after="120" w:line="240" w:lineRule="auto"/>
        <w:ind w:right="-2765"/>
        <w:jc w:val="both"/>
        <w:rPr>
          <w:rFonts w:ascii="Times New Roman" w:hAnsi="Times New Roman" w:cs="Times New Roman"/>
          <w:b/>
          <w:i/>
          <w:szCs w:val="28"/>
        </w:rPr>
      </w:pPr>
    </w:p>
    <w:p w:rsidR="00133D2E" w:rsidRPr="00133D2E" w:rsidRDefault="00133D2E" w:rsidP="001141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33D2E" w:rsidRPr="00133D2E" w:rsidSect="00133D2E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2D1F83" w:rsidRPr="00133D2E" w:rsidRDefault="00133D2E" w:rsidP="00133D2E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2D1F83" w:rsidRPr="00133D2E" w:rsidSect="00133D2E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 w:rsidRPr="00A47955">
        <w:rPr>
          <w:rFonts w:ascii="Times New Roman" w:hAnsi="Times New Roman" w:cs="Times New Roman"/>
          <w:sz w:val="28"/>
          <w:szCs w:val="28"/>
          <w:lang w:val="kk-KZ"/>
        </w:rPr>
        <w:lastRenderedPageBreak/>
        <w:t>В динамике и в сравнении с ОЭСР кар</w:t>
      </w:r>
      <w:r>
        <w:rPr>
          <w:rFonts w:ascii="Times New Roman" w:hAnsi="Times New Roman" w:cs="Times New Roman"/>
          <w:sz w:val="28"/>
          <w:szCs w:val="28"/>
          <w:lang w:val="kk-KZ"/>
        </w:rPr>
        <w:t>тина выглядит следующим образо</w:t>
      </w:r>
      <w:r>
        <w:rPr>
          <w:rFonts w:ascii="Times New Roman" w:hAnsi="Times New Roman" w:cs="Times New Roman"/>
          <w:sz w:val="28"/>
          <w:szCs w:val="28"/>
        </w:rPr>
        <w:t>м:</w:t>
      </w:r>
    </w:p>
    <w:p w:rsidR="00133D2E" w:rsidRPr="00133D2E" w:rsidRDefault="002176CD" w:rsidP="00133D2E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133D2E" w:rsidRPr="00133D2E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rFonts w:eastAsia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05C78DD" wp14:editId="569592E5">
            <wp:extent cx="6120130" cy="3123719"/>
            <wp:effectExtent l="0" t="0" r="0" b="6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D1F83" w:rsidRPr="002176CD" w:rsidRDefault="002176CD" w:rsidP="002176CD">
      <w:pPr>
        <w:tabs>
          <w:tab w:val="left" w:pos="0"/>
        </w:tabs>
        <w:spacing w:after="120" w:line="240" w:lineRule="auto"/>
        <w:jc w:val="center"/>
        <w:rPr>
          <w:rFonts w:ascii="Times New Roman" w:hAnsi="Times New Roman" w:cs="Times New Roman"/>
          <w:b/>
          <w:i/>
          <w:szCs w:val="28"/>
          <w:lang w:val="kk-KZ"/>
        </w:rPr>
        <w:sectPr w:rsidR="002D1F83" w:rsidRPr="002176CD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  <w:szCs w:val="28"/>
          <w:lang w:val="kk-KZ"/>
        </w:rPr>
        <w:lastRenderedPageBreak/>
        <w:t xml:space="preserve">Рисунок 5. </w:t>
      </w:r>
      <w:r w:rsidRPr="00F24926">
        <w:rPr>
          <w:rFonts w:ascii="Times New Roman" w:hAnsi="Times New Roman" w:cs="Times New Roman"/>
          <w:b/>
          <w:i/>
          <w:szCs w:val="28"/>
          <w:lang w:val="kk-KZ"/>
        </w:rPr>
        <w:t>Сравнение распределения государственных расходов по услугам в РК и странах ОЭСР</w:t>
      </w:r>
    </w:p>
    <w:p w:rsidR="002D1F83" w:rsidRDefault="002176CD" w:rsidP="002176CD">
      <w:pPr>
        <w:tabs>
          <w:tab w:val="left" w:pos="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При анализе структуры государственных расходов по сегментам в 2010-2017 гг. отмечается преобладание расходов на стационарную помощь, на которые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были направлены в среднем 55,7% средств.  Несмотря на увеличение расходов на АПП почти в 2 раза и стремления государством повысить приоритет АПП, финансирование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стационарной помощи продолжает оставаться на высоком уровне. В странах ОЭСР, для сравнения, на стационарную помощь направляется 25% средств государственного бюджета, 27% на амбулаторную </w:t>
      </w: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помощь, и 18% на услуги дневного стационара.  В то время как в Казахстане на  дневной стационар приходится всего лишь 3,7% государственных расходов</w:t>
      </w:r>
      <w:r w:rsidR="009F265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F2656" w:rsidRDefault="009F2656" w:rsidP="002176CD">
      <w:pPr>
        <w:tabs>
          <w:tab w:val="left" w:pos="0"/>
        </w:tabs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9F2656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9F2656" w:rsidRPr="000D628D" w:rsidRDefault="009F2656" w:rsidP="009F2656">
      <w:pPr>
        <w:pStyle w:val="a5"/>
        <w:spacing w:after="120" w:line="240" w:lineRule="auto"/>
        <w:ind w:firstLine="709"/>
      </w:pPr>
      <w:r w:rsidRPr="00B14053">
        <w:rPr>
          <w:sz w:val="28"/>
        </w:rPr>
        <w:lastRenderedPageBreak/>
        <w:t>Частные расходы</w:t>
      </w:r>
    </w:p>
    <w:p w:rsidR="00365961" w:rsidRDefault="00365961" w:rsidP="009F265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365961" w:rsidSect="001A63E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9F2656" w:rsidRDefault="009F2656" w:rsidP="009F265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Частные расходы в 2017 году составили 626,9 млрд. тенге или 1,2% ВВП и 37,9% от текущих расходов на здравоохранение. </w:t>
      </w:r>
    </w:p>
    <w:p w:rsidR="009F2656" w:rsidRPr="00752268" w:rsidRDefault="009F2656" w:rsidP="009F265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В структуре частные расходы распределилсь следующим образом: прямые платежи населения – 33,2% (550 млрд. тенге),  расходы предприятий – 3,3% (54 млрд. тенге), средства ДМС - 1,4% (22 млрд.тг.).</w:t>
      </w:r>
    </w:p>
    <w:p w:rsidR="001A63E3" w:rsidRDefault="001A63E3" w:rsidP="002176CD">
      <w:pPr>
        <w:tabs>
          <w:tab w:val="left" w:pos="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1A63E3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9F2656" w:rsidRDefault="009F2656" w:rsidP="009F2656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noProof/>
          <w:lang w:eastAsia="ru-RU"/>
        </w:rPr>
        <w:lastRenderedPageBreak/>
        <w:drawing>
          <wp:inline distT="0" distB="0" distL="0" distR="0" wp14:anchorId="4DD0F8E4" wp14:editId="64E92CDA">
            <wp:extent cx="5759533" cy="2493818"/>
            <wp:effectExtent l="0" t="0" r="0" b="190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F2656" w:rsidRDefault="009F2656" w:rsidP="009F2656">
      <w:pPr>
        <w:spacing w:after="120" w:line="240" w:lineRule="auto"/>
        <w:ind w:left="567" w:hanging="567"/>
        <w:jc w:val="center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>Рисунок 6. Номинальные и реальные (в ценах 2010 года) частные расходы на здравоохранение в динамике, в млрд. тенге.</w:t>
      </w:r>
    </w:p>
    <w:p w:rsidR="002176CD" w:rsidRPr="009F2656" w:rsidRDefault="002176CD" w:rsidP="009F2656">
      <w:pPr>
        <w:pStyle w:val="a5"/>
        <w:spacing w:after="120" w:line="240" w:lineRule="auto"/>
        <w:rPr>
          <w:sz w:val="28"/>
          <w:lang w:val="kk-KZ"/>
        </w:rPr>
        <w:sectPr w:rsidR="002176CD" w:rsidRPr="009F2656" w:rsidSect="002176CD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9541AB" w:rsidRDefault="00464FAD" w:rsidP="00E34C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В</w:t>
      </w:r>
      <w:r w:rsidR="0025498D">
        <w:rPr>
          <w:rFonts w:ascii="Times New Roman" w:hAnsi="Times New Roman" w:cs="Times New Roman"/>
          <w:sz w:val="28"/>
          <w:szCs w:val="28"/>
          <w:lang w:val="kk-KZ"/>
        </w:rPr>
        <w:t xml:space="preserve"> динамике с 2010 по 2017 годы частные расходы в номинальном выражении выросли в 3 раза, однако 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2017 году </w:t>
      </w:r>
      <w:r w:rsidR="0025498D">
        <w:rPr>
          <w:rFonts w:ascii="Times New Roman" w:hAnsi="Times New Roman" w:cs="Times New Roman"/>
          <w:sz w:val="28"/>
          <w:szCs w:val="28"/>
          <w:lang w:val="kk-KZ"/>
        </w:rPr>
        <w:t>сократились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на 2,9% с 645,6 до 626,9 млрд. </w:t>
      </w:r>
      <w:r w:rsidR="00685CB0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енге</w:t>
      </w:r>
      <w:r w:rsidR="0025498D">
        <w:rPr>
          <w:rFonts w:ascii="Times New Roman" w:hAnsi="Times New Roman" w:cs="Times New Roman"/>
          <w:sz w:val="28"/>
          <w:szCs w:val="28"/>
        </w:rPr>
        <w:t xml:space="preserve"> в сравнении с предыдущим годом</w:t>
      </w:r>
      <w:r>
        <w:rPr>
          <w:rFonts w:ascii="Times New Roman" w:hAnsi="Times New Roman" w:cs="Times New Roman"/>
          <w:sz w:val="28"/>
          <w:szCs w:val="28"/>
          <w:lang w:val="kk-KZ"/>
        </w:rPr>
        <w:t>, это обуславливается снижением расходов на фармацевтические, а также медицинские и ортопедпические товары.</w:t>
      </w:r>
      <w:r>
        <w:rPr>
          <w:rFonts w:ascii="Times New Roman" w:hAnsi="Times New Roman" w:cs="Times New Roman"/>
          <w:sz w:val="28"/>
          <w:szCs w:val="28"/>
        </w:rPr>
        <w:t xml:space="preserve"> Расходы на медицинские услуги (стационарная, амбулаторная и реабилитационная помощь) в 2017 году выросли на </w:t>
      </w:r>
      <w:r>
        <w:rPr>
          <w:rFonts w:ascii="Times New Roman" w:hAnsi="Times New Roman" w:cs="Times New Roman"/>
          <w:sz w:val="28"/>
          <w:szCs w:val="28"/>
        </w:rPr>
        <w:lastRenderedPageBreak/>
        <w:t>14,8% по</w:t>
      </w:r>
      <w:r w:rsidR="00E34C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сравнению с предыдущим годом.</w:t>
      </w:r>
      <w:r w:rsidR="009541AB">
        <w:rPr>
          <w:rFonts w:ascii="Times New Roman" w:hAnsi="Times New Roman" w:cs="Times New Roman"/>
          <w:sz w:val="28"/>
          <w:szCs w:val="28"/>
        </w:rPr>
        <w:t xml:space="preserve"> </w:t>
      </w:r>
      <w:r w:rsidR="009541AB" w:rsidRPr="0025498D">
        <w:rPr>
          <w:rFonts w:ascii="Times New Roman" w:hAnsi="Times New Roman" w:cs="Times New Roman"/>
          <w:sz w:val="28"/>
          <w:szCs w:val="28"/>
        </w:rPr>
        <w:t>Рост индекса потребительских цен на мед</w:t>
      </w:r>
      <w:r w:rsidR="009541AB">
        <w:rPr>
          <w:rFonts w:ascii="Times New Roman" w:hAnsi="Times New Roman" w:cs="Times New Roman"/>
          <w:sz w:val="28"/>
          <w:szCs w:val="28"/>
        </w:rPr>
        <w:t xml:space="preserve">ицинские </w:t>
      </w:r>
      <w:r w:rsidR="009541AB" w:rsidRPr="0025498D">
        <w:rPr>
          <w:rFonts w:ascii="Times New Roman" w:hAnsi="Times New Roman" w:cs="Times New Roman"/>
          <w:sz w:val="28"/>
          <w:szCs w:val="28"/>
        </w:rPr>
        <w:t>услуги в 2017 г. составил 8,6%</w:t>
      </w:r>
      <w:r w:rsidR="009541AB">
        <w:rPr>
          <w:rFonts w:ascii="Times New Roman" w:hAnsi="Times New Roman" w:cs="Times New Roman"/>
          <w:sz w:val="28"/>
          <w:szCs w:val="28"/>
        </w:rPr>
        <w:t xml:space="preserve">, </w:t>
      </w:r>
      <w:r w:rsidR="00685CB0">
        <w:rPr>
          <w:rFonts w:ascii="Times New Roman" w:hAnsi="Times New Roman" w:cs="Times New Roman"/>
          <w:sz w:val="28"/>
          <w:szCs w:val="28"/>
        </w:rPr>
        <w:t>и это говорит о том</w:t>
      </w:r>
      <w:r w:rsidR="00CD1D7B">
        <w:rPr>
          <w:rFonts w:ascii="Times New Roman" w:hAnsi="Times New Roman" w:cs="Times New Roman"/>
          <w:sz w:val="28"/>
          <w:szCs w:val="28"/>
        </w:rPr>
        <w:t xml:space="preserve">, </w:t>
      </w:r>
      <w:r w:rsidR="00685CB0">
        <w:rPr>
          <w:rFonts w:ascii="Times New Roman" w:hAnsi="Times New Roman" w:cs="Times New Roman"/>
          <w:sz w:val="28"/>
          <w:szCs w:val="28"/>
        </w:rPr>
        <w:t xml:space="preserve">что </w:t>
      </w:r>
      <w:r w:rsidR="00CD1D7B">
        <w:rPr>
          <w:rFonts w:ascii="Times New Roman" w:hAnsi="Times New Roman" w:cs="Times New Roman"/>
          <w:sz w:val="28"/>
          <w:szCs w:val="28"/>
        </w:rPr>
        <w:t>увеличение частных расходов произошло не только за счет роста потребления, но и за счет роста цен.</w:t>
      </w:r>
      <w:r w:rsidR="00A114C5">
        <w:rPr>
          <w:rFonts w:ascii="Times New Roman" w:hAnsi="Times New Roman" w:cs="Times New Roman"/>
          <w:sz w:val="28"/>
          <w:szCs w:val="28"/>
        </w:rPr>
        <w:t xml:space="preserve"> Стоит также отметить, что 85% частных расходов</w:t>
      </w:r>
      <w:r w:rsidR="00685CB0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A114C5">
        <w:rPr>
          <w:rFonts w:ascii="Times New Roman" w:hAnsi="Times New Roman" w:cs="Times New Roman"/>
          <w:sz w:val="28"/>
          <w:szCs w:val="28"/>
        </w:rPr>
        <w:t xml:space="preserve"> тратится в частных организациях и лишь 15% в государственных медицинских организациях. </w:t>
      </w:r>
    </w:p>
    <w:p w:rsidR="00365961" w:rsidRDefault="00365961" w:rsidP="00804164">
      <w:pPr>
        <w:spacing w:after="120" w:line="240" w:lineRule="auto"/>
        <w:contextualSpacing/>
        <w:jc w:val="both"/>
        <w:rPr>
          <w:rFonts w:ascii="Times New Roman" w:hAnsi="Times New Roman" w:cs="Times New Roman"/>
          <w:b/>
          <w:i/>
          <w:szCs w:val="28"/>
          <w:lang w:val="kk-KZ"/>
        </w:rPr>
        <w:sectPr w:rsidR="00365961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464FAD" w:rsidRPr="00804164" w:rsidRDefault="00804164" w:rsidP="00804164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E8C75DE" wp14:editId="6D92D0B6">
            <wp:extent cx="6044540" cy="2980707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464FAD">
        <w:rPr>
          <w:rFonts w:ascii="Times New Roman" w:hAnsi="Times New Roman" w:cs="Times New Roman"/>
          <w:b/>
          <w:i/>
          <w:szCs w:val="28"/>
          <w:lang w:val="kk-KZ"/>
        </w:rPr>
        <w:t>Рисунок 7. Частные расходы на здравоохранение в разрезе услуг в динамитке с 2010 по 2017 годы (в млрд. тенге)</w:t>
      </w:r>
    </w:p>
    <w:p w:rsidR="00464FAD" w:rsidRDefault="00464FAD" w:rsidP="00350D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464FAD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350D91" w:rsidRDefault="00350D91" w:rsidP="006A013E">
      <w:pPr>
        <w:spacing w:after="120" w:line="240" w:lineRule="auto"/>
        <w:jc w:val="both"/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8"/>
          <w:szCs w:val="24"/>
        </w:rPr>
      </w:pPr>
    </w:p>
    <w:p w:rsidR="00350D91" w:rsidRPr="00350D91" w:rsidRDefault="00685CB0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Несмотря на с</w:t>
      </w:r>
      <w:r w:rsidR="00350D91" w:rsidRPr="0022447C">
        <w:rPr>
          <w:rFonts w:ascii="Times New Roman" w:hAnsi="Times New Roman" w:cs="Times New Roman"/>
          <w:sz w:val="28"/>
          <w:szCs w:val="28"/>
          <w:lang w:val="kk-KZ"/>
        </w:rPr>
        <w:t>нижение частных расходов в 2017 году, их величина по прежнему является больше среднего значения</w:t>
      </w:r>
      <w:r w:rsidR="00350D91">
        <w:rPr>
          <w:rFonts w:ascii="Times New Roman" w:hAnsi="Times New Roman" w:cs="Times New Roman"/>
          <w:sz w:val="28"/>
          <w:szCs w:val="28"/>
          <w:lang w:val="kk-KZ"/>
        </w:rPr>
        <w:t xml:space="preserve">, чем                        </w:t>
      </w:r>
      <w:r w:rsidR="00350D91" w:rsidRPr="0022447C">
        <w:rPr>
          <w:rFonts w:ascii="Times New Roman" w:hAnsi="Times New Roman" w:cs="Times New Roman"/>
          <w:sz w:val="28"/>
          <w:szCs w:val="28"/>
          <w:lang w:val="kk-KZ"/>
        </w:rPr>
        <w:t xml:space="preserve"> в страна</w:t>
      </w:r>
      <w:r w:rsidR="00350D91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350D91" w:rsidRPr="0022447C">
        <w:rPr>
          <w:rFonts w:ascii="Times New Roman" w:hAnsi="Times New Roman" w:cs="Times New Roman"/>
          <w:sz w:val="28"/>
          <w:szCs w:val="28"/>
          <w:lang w:val="kk-KZ"/>
        </w:rPr>
        <w:t xml:space="preserve"> ОЭСР – 26,8%</w:t>
      </w:r>
      <w:r w:rsidR="00350D9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0D91" w:rsidRPr="00350D91" w:rsidRDefault="00350D91" w:rsidP="006A013E">
      <w:pPr>
        <w:spacing w:after="120" w:line="240" w:lineRule="auto"/>
        <w:jc w:val="both"/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8"/>
          <w:szCs w:val="24"/>
          <w:lang w:val="kk-KZ"/>
        </w:rPr>
      </w:pPr>
    </w:p>
    <w:p w:rsidR="00350D91" w:rsidRDefault="00350D91" w:rsidP="006A013E">
      <w:pPr>
        <w:spacing w:after="120" w:line="240" w:lineRule="auto"/>
        <w:jc w:val="both"/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8"/>
          <w:szCs w:val="24"/>
        </w:rPr>
      </w:pPr>
      <w:r>
        <w:rPr>
          <w:rFonts w:cs="Times New Roman"/>
          <w:noProof/>
          <w:szCs w:val="28"/>
          <w:lang w:eastAsia="ru-RU"/>
        </w:rPr>
        <w:drawing>
          <wp:inline distT="0" distB="0" distL="0" distR="0" wp14:anchorId="0CA16696" wp14:editId="26E94EDA">
            <wp:extent cx="6120130" cy="2350300"/>
            <wp:effectExtent l="0" t="0" r="0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50D91" w:rsidRPr="00350D91" w:rsidRDefault="00350D91" w:rsidP="00350D91">
      <w:pPr>
        <w:spacing w:after="120" w:line="240" w:lineRule="auto"/>
        <w:jc w:val="center"/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8. </w:t>
      </w:r>
      <w:r w:rsidRPr="00D6233D">
        <w:rPr>
          <w:rFonts w:ascii="Times New Roman" w:hAnsi="Times New Roman" w:cs="Times New Roman"/>
          <w:b/>
          <w:i/>
          <w:szCs w:val="28"/>
          <w:lang w:val="kk-KZ"/>
        </w:rPr>
        <w:t>Частные расходы от текущих расходов на здравоохранение в странах ОЭСР и в Казахстане</w:t>
      </w:r>
    </w:p>
    <w:p w:rsidR="006A013E" w:rsidRDefault="00294622" w:rsidP="006A013E">
      <w:pPr>
        <w:spacing w:after="120" w:line="240" w:lineRule="auto"/>
        <w:jc w:val="both"/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8"/>
          <w:szCs w:val="24"/>
        </w:rPr>
      </w:pPr>
      <w:r w:rsidRPr="00B06C67"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8"/>
          <w:szCs w:val="24"/>
        </w:rPr>
        <w:t>Региональные счета здравоохранения</w:t>
      </w:r>
    </w:p>
    <w:p w:rsidR="006A013E" w:rsidRDefault="006A013E" w:rsidP="006A013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A013E" w:rsidSect="006A013E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A013E" w:rsidRDefault="006A013E" w:rsidP="006A013E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6DA">
        <w:rPr>
          <w:rFonts w:ascii="Times New Roman" w:hAnsi="Times New Roman" w:cs="Times New Roman"/>
          <w:sz w:val="28"/>
          <w:szCs w:val="28"/>
        </w:rPr>
        <w:lastRenderedPageBreak/>
        <w:t>Что касается распределения расходов на здравоохранение на региональном уровне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 2017 году </w:t>
      </w:r>
      <w:r>
        <w:rPr>
          <w:rFonts w:ascii="Times New Roman" w:hAnsi="Times New Roman" w:cs="Times New Roman"/>
          <w:sz w:val="28"/>
          <w:szCs w:val="28"/>
          <w:lang w:val="kk-KZ"/>
        </w:rPr>
        <w:t>текущие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 расходы на уровне местного бюджета на здравоохранение значительно сократились по сравнению с 2016 годом. Это связано с переходом некоторых бюджетных программ на 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республиканский уровень. Так, если в 2016 году общие расходы местного бюджета составили 653,7 млрд. тенге, то в 2017 году составили – 307,6 млрд. тенге. </w:t>
      </w:r>
    </w:p>
    <w:p w:rsidR="006A013E" w:rsidRPr="006A013E" w:rsidRDefault="006A013E" w:rsidP="006A013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t>Наибольший об</w:t>
      </w:r>
      <w:r>
        <w:rPr>
          <w:rFonts w:ascii="Times New Roman" w:hAnsi="Times New Roman" w:cs="Times New Roman"/>
          <w:sz w:val="28"/>
          <w:szCs w:val="28"/>
          <w:lang w:val="kk-KZ"/>
        </w:rPr>
        <w:t>ъем расходов показал г. Алматы (114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 млрд.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>енге</w:t>
      </w:r>
      <w:r>
        <w:rPr>
          <w:rFonts w:ascii="Times New Roman" w:hAnsi="Times New Roman" w:cs="Times New Roman"/>
          <w:sz w:val="28"/>
          <w:szCs w:val="28"/>
          <w:lang w:val="kk-KZ"/>
        </w:rPr>
        <w:t>) и г. Астана (67,6 млрд. тенге).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lastRenderedPageBreak/>
        <w:t>Объяснением данному явлению может послужить расположение большинства медицинских организаций республиканского уровня, которые предоставляют услуги, как местным жителям, так и жителям населению других регионов.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аименьший показатель отмечается в Северо-Казахстанской  области – 14,2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млрд.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енге</w:t>
      </w:r>
      <w:r w:rsidRPr="00674B6B">
        <w:rPr>
          <w:rFonts w:ascii="Times New Roman" w:hAnsi="Times New Roman" w:cs="Times New Roman"/>
          <w:sz w:val="28"/>
          <w:szCs w:val="28"/>
        </w:rPr>
        <w:t>.</w:t>
      </w:r>
    </w:p>
    <w:p w:rsidR="006A013E" w:rsidRDefault="006A013E" w:rsidP="006A013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Структура </w:t>
      </w:r>
      <w:r>
        <w:rPr>
          <w:rFonts w:ascii="Times New Roman" w:hAnsi="Times New Roman" w:cs="Times New Roman"/>
          <w:sz w:val="28"/>
          <w:szCs w:val="28"/>
          <w:lang w:val="kk-KZ"/>
        </w:rPr>
        <w:t>текущих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 расходов на здравоохранение в разрезе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источников 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>финансирования также не изменилась за последний год. Больше всего государственные средства аккумулировались в Южно-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lastRenderedPageBreak/>
        <w:t>Казахстанской  области. Тем временем, в городе Алматы преобладают частные расходы, что составляют 56,3% от всех расходов, а государственные расходы в данном регионе показывают наименьший показатель по республике. Лидером по расходу предприятий на здравоохранение также остался город Астана, где данный показатель составил 30,9% от всех расходов на зд</w:t>
      </w:r>
      <w:r>
        <w:rPr>
          <w:rFonts w:ascii="Times New Roman" w:hAnsi="Times New Roman" w:cs="Times New Roman"/>
          <w:sz w:val="28"/>
          <w:szCs w:val="28"/>
          <w:lang w:val="kk-KZ"/>
        </w:rPr>
        <w:t>равоохранение данного региона и повысился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 на 18,7% в сравнении с предыдущим годом. </w:t>
      </w:r>
      <w:r>
        <w:rPr>
          <w:rFonts w:ascii="Times New Roman" w:hAnsi="Times New Roman" w:cs="Times New Roman"/>
          <w:sz w:val="28"/>
          <w:szCs w:val="28"/>
          <w:lang w:val="kk-KZ"/>
        </w:rPr>
        <w:t>Наибольшие частные расходы в этих городах объсяняются уровнями реальных доходов населения.</w:t>
      </w:r>
    </w:p>
    <w:p w:rsidR="006A013E" w:rsidRDefault="006A013E" w:rsidP="006A013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6A013E" w:rsidSect="006A013E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6A013E" w:rsidRPr="0076236E" w:rsidRDefault="006A013E" w:rsidP="006A013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lastRenderedPageBreak/>
        <w:t>Также удельный вес средств предприятий в структуре расходов на здравоохранение имеют высокие показатели в западных регионах РК. Это обусловлено расположением большинства крупных предприятий с участием иностранного капитала в западных регионах и в городах республиканского значения.</w:t>
      </w:r>
    </w:p>
    <w:p w:rsidR="006A013E" w:rsidRPr="002D1F83" w:rsidRDefault="006A013E" w:rsidP="006A013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36E">
        <w:rPr>
          <w:rFonts w:ascii="Times New Roman" w:hAnsi="Times New Roman" w:cs="Times New Roman"/>
          <w:sz w:val="28"/>
          <w:szCs w:val="28"/>
          <w:lang w:val="kk-KZ"/>
        </w:rPr>
        <w:lastRenderedPageBreak/>
        <w:t>По расходам домашних хозяйств на здравоохр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анение лидерами также остаются 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 xml:space="preserve">г. Алматы и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г. </w:t>
      </w:r>
      <w:r w:rsidRPr="0076236E">
        <w:rPr>
          <w:rFonts w:ascii="Times New Roman" w:hAnsi="Times New Roman" w:cs="Times New Roman"/>
          <w:sz w:val="28"/>
          <w:szCs w:val="28"/>
          <w:lang w:val="kk-KZ"/>
        </w:rPr>
        <w:t>Астана. Население из собственных карманов меньше всего расходует в СКО, как и в 2015-2016 годах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A013E" w:rsidRPr="006A013E" w:rsidRDefault="006A013E" w:rsidP="00350D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6A013E" w:rsidRPr="006A013E" w:rsidSect="006A013E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350D91" w:rsidRPr="002D1F83" w:rsidRDefault="00350D91" w:rsidP="00350D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F0A">
        <w:rPr>
          <w:rFonts w:cs="Times New Roman"/>
          <w:noProof/>
          <w:szCs w:val="28"/>
          <w:lang w:eastAsia="ru-RU"/>
        </w:rPr>
        <w:lastRenderedPageBreak/>
        <w:drawing>
          <wp:inline distT="0" distB="0" distL="0" distR="0" wp14:anchorId="6DEA0788" wp14:editId="462FE6FD">
            <wp:extent cx="5807034" cy="2992582"/>
            <wp:effectExtent l="0" t="19050" r="3810" b="3683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50D91" w:rsidRPr="00350D91" w:rsidRDefault="00350D91" w:rsidP="00350D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50D91" w:rsidRPr="00350D91" w:rsidSect="00464FAD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i/>
          <w:szCs w:val="28"/>
          <w:lang w:val="kk-KZ"/>
        </w:rPr>
        <w:t xml:space="preserve">Рисунок 9. </w:t>
      </w:r>
      <w:r w:rsidRPr="00F37AC2">
        <w:rPr>
          <w:rFonts w:ascii="Times New Roman" w:hAnsi="Times New Roman" w:cs="Times New Roman"/>
          <w:b/>
          <w:i/>
          <w:szCs w:val="28"/>
          <w:lang w:val="kk-KZ"/>
        </w:rPr>
        <w:t>Общие расходы на здравоохранение в разрезе регионов в 2017г. (тыс. тенге)</w:t>
      </w:r>
    </w:p>
    <w:p w:rsidR="000617DD" w:rsidRDefault="000617DD" w:rsidP="00350D91">
      <w:pPr>
        <w:pStyle w:val="2"/>
        <w:spacing w:after="120" w:line="240" w:lineRule="auto"/>
        <w:ind w:firstLine="709"/>
        <w:rPr>
          <w:color w:val="365F91" w:themeColor="accent1" w:themeShade="BF"/>
          <w:sz w:val="28"/>
          <w:szCs w:val="28"/>
        </w:rPr>
      </w:pPr>
    </w:p>
    <w:p w:rsidR="00350D91" w:rsidRPr="00B06C67" w:rsidRDefault="00350D91" w:rsidP="00350D91">
      <w:pPr>
        <w:pStyle w:val="2"/>
        <w:spacing w:after="120" w:line="240" w:lineRule="auto"/>
        <w:ind w:firstLine="709"/>
        <w:rPr>
          <w:color w:val="365F91" w:themeColor="accent1" w:themeShade="BF"/>
          <w:sz w:val="28"/>
          <w:szCs w:val="28"/>
        </w:rPr>
      </w:pPr>
      <w:r w:rsidRPr="00B06C67">
        <w:rPr>
          <w:color w:val="365F91" w:themeColor="accent1" w:themeShade="BF"/>
          <w:sz w:val="28"/>
          <w:szCs w:val="28"/>
        </w:rPr>
        <w:t>Варианты решения и их внедрение</w:t>
      </w:r>
    </w:p>
    <w:p w:rsidR="00350D91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50D91" w:rsidSect="00464FAD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350D91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расходов на здравоохранение в 2017 году, а также в динамике с 2010 года, показал рост общих расходов на здравоохранение в 2 раза за последние 8 лет, однако доля ОРЗ от ВВП остается небольшой по сравнению со странами ОЭСР и ежегодно сокращается. Другими словами, благосостояние государства (ВВП) растет, а доля расходов населения на здравоохранение снижается. </w:t>
      </w:r>
    </w:p>
    <w:p w:rsidR="00350D91" w:rsidRPr="00480A3B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Также одним из предметом внимания являются н</w:t>
      </w:r>
      <w:r w:rsidRPr="00480A3B">
        <w:rPr>
          <w:rFonts w:ascii="Times New Roman" w:hAnsi="Times New Roman" w:cs="Times New Roman"/>
          <w:sz w:val="28"/>
          <w:szCs w:val="28"/>
          <w:lang w:val="kk-KZ"/>
        </w:rPr>
        <w:t>аблюдаемые в Казахстане высокие частные расходы</w:t>
      </w:r>
      <w:r w:rsidR="00685CB0">
        <w:rPr>
          <w:rFonts w:ascii="Times New Roman" w:hAnsi="Times New Roman" w:cs="Times New Roman"/>
          <w:sz w:val="28"/>
          <w:szCs w:val="28"/>
          <w:lang w:val="kk-KZ"/>
        </w:rPr>
        <w:t>, которые</w:t>
      </w:r>
      <w:r w:rsidRPr="00480A3B">
        <w:rPr>
          <w:rFonts w:ascii="Times New Roman" w:hAnsi="Times New Roman" w:cs="Times New Roman"/>
          <w:sz w:val="28"/>
          <w:szCs w:val="28"/>
          <w:lang w:val="kk-KZ"/>
        </w:rPr>
        <w:t xml:space="preserve"> создают угрозу доступности услуг здравоохранения, усиливают неравенство в уровне получения медицинских услуг и возлагают дополнительное бремя на беднейшие слои общества, связанное с необходимостью приобретения дорогостоящего лечения, с вытекающими последствиями для экономического роста.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80A3B">
        <w:rPr>
          <w:rFonts w:ascii="Times New Roman" w:hAnsi="Times New Roman" w:cs="Times New Roman"/>
          <w:sz w:val="28"/>
          <w:szCs w:val="28"/>
          <w:lang w:val="kk-KZ"/>
        </w:rPr>
        <w:t>По оценкам ВОЗ, устойчивой считается такая система здравоохранения, в которой на долю частных расходов приходится не более 20%.</w:t>
      </w:r>
    </w:p>
    <w:p w:rsidR="00350D91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BF0">
        <w:rPr>
          <w:rFonts w:ascii="Times New Roman" w:hAnsi="Times New Roman" w:cs="Times New Roman"/>
          <w:sz w:val="28"/>
          <w:szCs w:val="28"/>
        </w:rPr>
        <w:t xml:space="preserve">Значительное ограничение бесплатного медицинского обеспечения или недостаточность его государственного финансирования приводит к росту доли частных расходов в результате вынужденного приобретения населением необходимой помощи за счет личных средств. С другой стороны, при увеличении государственного финансирования размер расходов из личных средств населения может увеличиваться за </w:t>
      </w:r>
      <w:r w:rsidRPr="005C3BF0">
        <w:rPr>
          <w:rFonts w:ascii="Times New Roman" w:hAnsi="Times New Roman" w:cs="Times New Roman"/>
          <w:sz w:val="28"/>
          <w:szCs w:val="28"/>
        </w:rPr>
        <w:lastRenderedPageBreak/>
        <w:t>счет связанных трат, не покрываемых в рамках общественного здравоохранения (например, приобретение лекарственных препаратов), что может объяснить ситуацию по высокому уровню частных затрат в здравоохранении РК.</w:t>
      </w:r>
    </w:p>
    <w:p w:rsidR="00350D91" w:rsidRPr="00480A3B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80A3B">
        <w:rPr>
          <w:rFonts w:ascii="Times New Roman" w:hAnsi="Times New Roman" w:cs="Times New Roman"/>
          <w:sz w:val="28"/>
          <w:szCs w:val="28"/>
          <w:lang w:val="kk-KZ"/>
        </w:rPr>
        <w:t>Повышенный уровень частных расходов принято объяснять недостаточностью государственного финансирования и вызванной ею невозможностью получить необходимую помощь бесплатно в рамках общественной системы здравоохранения, но в действительности круг факторов, определяющих структуру расходов, может быть значительно шире.</w:t>
      </w:r>
    </w:p>
    <w:p w:rsidR="00350D91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C7C">
        <w:rPr>
          <w:rFonts w:ascii="Times New Roman" w:hAnsi="Times New Roman" w:cs="Times New Roman"/>
          <w:sz w:val="28"/>
          <w:szCs w:val="28"/>
        </w:rPr>
        <w:t xml:space="preserve">По итогам 2017 года  30,2% от </w:t>
      </w:r>
      <w:r>
        <w:rPr>
          <w:rFonts w:ascii="Times New Roman" w:hAnsi="Times New Roman" w:cs="Times New Roman"/>
          <w:sz w:val="28"/>
          <w:szCs w:val="28"/>
        </w:rPr>
        <w:t xml:space="preserve">общих </w:t>
      </w:r>
      <w:r w:rsidRPr="00C33C7C">
        <w:rPr>
          <w:rFonts w:ascii="Times New Roman" w:hAnsi="Times New Roman" w:cs="Times New Roman"/>
          <w:sz w:val="28"/>
          <w:szCs w:val="28"/>
        </w:rPr>
        <w:t>расходов на здравоохранения было направлено на стационарные услуги, в то время как доля финансирования  амбулато</w:t>
      </w:r>
      <w:r>
        <w:rPr>
          <w:rFonts w:ascii="Times New Roman" w:hAnsi="Times New Roman" w:cs="Times New Roman"/>
          <w:sz w:val="28"/>
          <w:szCs w:val="28"/>
        </w:rPr>
        <w:t xml:space="preserve">рного лечения составила  29,1% ОРЗ (28,3% в 2016 году), </w:t>
      </w:r>
      <w:r w:rsidRPr="00C33C7C">
        <w:rPr>
          <w:rFonts w:ascii="Times New Roman" w:hAnsi="Times New Roman" w:cs="Times New Roman"/>
          <w:sz w:val="28"/>
          <w:szCs w:val="28"/>
        </w:rPr>
        <w:t>что говорит о преобладании стационарных услуг в структуре финансирования здравоохранения, что отличает Казахстан от статистики ОЭСР, где в среднем 33% средств текущих расходов расходуется на амбулаторную помощь и 28% на стационарные услуги. Хотя, в сравнении с предыдущим годом отмечается рост расходов на амбулаторную помощь, что говорит о развитии сектора первичной помощи.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D91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C6949">
        <w:rPr>
          <w:rFonts w:ascii="Times New Roman" w:hAnsi="Times New Roman" w:cs="Times New Roman"/>
          <w:sz w:val="28"/>
          <w:szCs w:val="28"/>
        </w:rPr>
        <w:t>асходы на реабилитаци</w:t>
      </w:r>
      <w:r>
        <w:rPr>
          <w:rFonts w:ascii="Times New Roman" w:hAnsi="Times New Roman" w:cs="Times New Roman"/>
          <w:sz w:val="28"/>
          <w:szCs w:val="28"/>
        </w:rPr>
        <w:t>онные услуги составили всего 0,8</w:t>
      </w:r>
      <w:r w:rsidRPr="007C6949">
        <w:rPr>
          <w:rFonts w:ascii="Times New Roman" w:hAnsi="Times New Roman" w:cs="Times New Roman"/>
          <w:sz w:val="28"/>
          <w:szCs w:val="28"/>
        </w:rPr>
        <w:t xml:space="preserve">% от всех средств направленных на </w:t>
      </w:r>
      <w:r w:rsidRPr="007C6949">
        <w:rPr>
          <w:rFonts w:ascii="Times New Roman" w:hAnsi="Times New Roman" w:cs="Times New Roman"/>
          <w:sz w:val="28"/>
          <w:szCs w:val="28"/>
        </w:rPr>
        <w:lastRenderedPageBreak/>
        <w:t>здравоохранение. Данный факт может стать одной из причин дефицита финансирования здравоохранения, так как реабилитационные услуги, как и превентивные услуги, предотвращают ухудшение состояния человека, тем самым предотвращая повторные обращения и лечения осложнении.</w:t>
      </w:r>
    </w:p>
    <w:p w:rsidR="009307A7" w:rsidRDefault="00350D91" w:rsidP="00350D9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30E5">
        <w:rPr>
          <w:rFonts w:ascii="Times New Roman" w:hAnsi="Times New Roman" w:cs="Times New Roman"/>
          <w:sz w:val="28"/>
          <w:szCs w:val="28"/>
          <w:lang w:val="kk-KZ"/>
        </w:rPr>
        <w:t>Учитывая все вышеперечисленные ключевые проблемы финансиро</w:t>
      </w:r>
      <w:r>
        <w:rPr>
          <w:rFonts w:ascii="Times New Roman" w:hAnsi="Times New Roman" w:cs="Times New Roman"/>
          <w:sz w:val="28"/>
          <w:szCs w:val="28"/>
          <w:lang w:val="kk-KZ"/>
        </w:rPr>
        <w:t>вания здравоохранения, настоящая</w:t>
      </w:r>
      <w:r w:rsidRPr="004330E5">
        <w:rPr>
          <w:rFonts w:ascii="Times New Roman" w:hAnsi="Times New Roman" w:cs="Times New Roman"/>
          <w:sz w:val="28"/>
          <w:szCs w:val="28"/>
          <w:lang w:val="kk-KZ"/>
        </w:rPr>
        <w:t xml:space="preserve"> аналитическая справка предлага</w:t>
      </w:r>
      <w:r w:rsidR="009307A7">
        <w:rPr>
          <w:rFonts w:ascii="Times New Roman" w:hAnsi="Times New Roman" w:cs="Times New Roman"/>
          <w:sz w:val="28"/>
          <w:szCs w:val="28"/>
          <w:lang w:val="kk-KZ"/>
        </w:rPr>
        <w:t>ет следующие меры по их решению:</w:t>
      </w:r>
    </w:p>
    <w:p w:rsidR="00685CB0" w:rsidRDefault="00685CB0" w:rsidP="001D3A63">
      <w:pPr>
        <w:pStyle w:val="a7"/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675">
        <w:rPr>
          <w:rFonts w:ascii="Times New Roman" w:hAnsi="Times New Roman" w:cs="Times New Roman"/>
          <w:sz w:val="28"/>
          <w:szCs w:val="28"/>
          <w:lang w:val="kk-KZ"/>
        </w:rPr>
        <w:t>Усиление компетенций ВОП и роли ПМСП как центрального звена развития всей отрасли</w:t>
      </w:r>
      <w:r w:rsidR="00AD267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080EE8" w:rsidRPr="00080EE8" w:rsidRDefault="00EF2520" w:rsidP="001D3A63">
      <w:pPr>
        <w:pStyle w:val="a7"/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Увеличение количества</w:t>
      </w:r>
      <w:r w:rsidR="00080EE8" w:rsidRPr="00080EE8">
        <w:rPr>
          <w:rFonts w:ascii="Times New Roman" w:hAnsi="Times New Roman" w:cs="Times New Roman"/>
          <w:sz w:val="28"/>
          <w:szCs w:val="28"/>
          <w:lang w:val="kk-KZ"/>
        </w:rPr>
        <w:t xml:space="preserve"> участков ПМСП и сни</w:t>
      </w:r>
      <w:r>
        <w:rPr>
          <w:rFonts w:ascii="Times New Roman" w:hAnsi="Times New Roman" w:cs="Times New Roman"/>
          <w:sz w:val="28"/>
          <w:szCs w:val="28"/>
          <w:lang w:val="kk-KZ"/>
        </w:rPr>
        <w:t>жение</w:t>
      </w:r>
      <w:r w:rsidR="00080EE8" w:rsidRPr="00080EE8">
        <w:rPr>
          <w:rFonts w:ascii="Times New Roman" w:hAnsi="Times New Roman" w:cs="Times New Roman"/>
          <w:sz w:val="28"/>
          <w:szCs w:val="28"/>
          <w:lang w:val="kk-KZ"/>
        </w:rPr>
        <w:t xml:space="preserve"> нагрузки на ВОП</w:t>
      </w:r>
      <w:r w:rsidR="00685CB0">
        <w:rPr>
          <w:rFonts w:ascii="Times New Roman" w:hAnsi="Times New Roman" w:cs="Times New Roman"/>
          <w:sz w:val="28"/>
          <w:szCs w:val="28"/>
          <w:lang w:val="kk-KZ"/>
        </w:rPr>
        <w:t xml:space="preserve"> с целью обеспечения доступности и качества медицинской помощи</w:t>
      </w:r>
      <w:r w:rsidR="00B16E2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D2190" w:rsidRDefault="00685CB0" w:rsidP="001D3A63">
      <w:pPr>
        <w:pStyle w:val="a7"/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Конкретизирование</w:t>
      </w:r>
      <w:r w:rsidR="00B16E22">
        <w:rPr>
          <w:rFonts w:ascii="Times New Roman" w:hAnsi="Times New Roman" w:cs="Times New Roman"/>
          <w:sz w:val="28"/>
          <w:szCs w:val="28"/>
          <w:lang w:val="kk-KZ"/>
        </w:rPr>
        <w:t xml:space="preserve"> перечн</w:t>
      </w:r>
      <w:r w:rsidR="005D2190">
        <w:rPr>
          <w:rFonts w:ascii="Times New Roman" w:hAnsi="Times New Roman" w:cs="Times New Roman"/>
          <w:sz w:val="28"/>
          <w:szCs w:val="28"/>
          <w:lang w:val="kk-KZ"/>
        </w:rPr>
        <w:t>ей ГОБМП и ОСМС и покрытие растущей потребности</w:t>
      </w:r>
      <w:r w:rsidR="00080EE8" w:rsidRPr="00080EE8">
        <w:rPr>
          <w:rFonts w:ascii="Times New Roman" w:hAnsi="Times New Roman" w:cs="Times New Roman"/>
          <w:sz w:val="28"/>
          <w:szCs w:val="28"/>
          <w:lang w:val="kk-KZ"/>
        </w:rPr>
        <w:t xml:space="preserve"> населения в некот</w:t>
      </w:r>
      <w:r w:rsidR="00B16E22">
        <w:rPr>
          <w:rFonts w:ascii="Times New Roman" w:hAnsi="Times New Roman" w:cs="Times New Roman"/>
          <w:sz w:val="28"/>
          <w:szCs w:val="28"/>
          <w:lang w:val="kk-KZ"/>
        </w:rPr>
        <w:t xml:space="preserve">орых </w:t>
      </w:r>
      <w:r w:rsidR="00AD2675">
        <w:rPr>
          <w:rFonts w:ascii="Times New Roman" w:hAnsi="Times New Roman" w:cs="Times New Roman"/>
          <w:sz w:val="28"/>
          <w:szCs w:val="28"/>
          <w:lang w:val="kk-KZ"/>
        </w:rPr>
        <w:t xml:space="preserve">специализированных </w:t>
      </w:r>
      <w:r w:rsidR="005D2190" w:rsidRPr="009307A7">
        <w:rPr>
          <w:rFonts w:ascii="Times New Roman" w:hAnsi="Times New Roman" w:cs="Times New Roman"/>
          <w:sz w:val="28"/>
          <w:szCs w:val="28"/>
        </w:rPr>
        <w:t>медицинских услуг</w:t>
      </w:r>
      <w:r w:rsidR="00AD2675">
        <w:rPr>
          <w:rFonts w:ascii="Times New Roman" w:hAnsi="Times New Roman" w:cs="Times New Roman"/>
          <w:sz w:val="28"/>
          <w:szCs w:val="28"/>
        </w:rPr>
        <w:t>ах</w:t>
      </w:r>
      <w:r w:rsidR="005D2190" w:rsidRPr="009307A7">
        <w:rPr>
          <w:rFonts w:ascii="Times New Roman" w:hAnsi="Times New Roman" w:cs="Times New Roman"/>
          <w:sz w:val="28"/>
          <w:szCs w:val="28"/>
        </w:rPr>
        <w:t xml:space="preserve"> (реабилитация, онкология, высокотехнологичные медицинские услуги, паллиативная помощь)</w:t>
      </w:r>
      <w:r w:rsidR="00B16E2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85CB0" w:rsidRDefault="00685CB0" w:rsidP="008856A9">
      <w:pPr>
        <w:pStyle w:val="a7"/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675">
        <w:rPr>
          <w:rFonts w:ascii="Times New Roman" w:hAnsi="Times New Roman" w:cs="Times New Roman"/>
          <w:sz w:val="28"/>
          <w:szCs w:val="28"/>
          <w:lang w:val="kk-KZ"/>
        </w:rPr>
        <w:t>Нормирование инфраструктуры через единые перспективные планы путем определения реальной потребности в объеме медицинских услуг</w:t>
      </w:r>
      <w:r w:rsidR="00AD2675">
        <w:rPr>
          <w:rFonts w:ascii="Times New Roman" w:hAnsi="Times New Roman" w:cs="Times New Roman"/>
          <w:sz w:val="28"/>
          <w:szCs w:val="28"/>
          <w:lang w:val="kk-KZ"/>
        </w:rPr>
        <w:t>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856A9" w:rsidRPr="000617DD" w:rsidRDefault="00685CB0" w:rsidP="000617DD">
      <w:pPr>
        <w:pStyle w:val="a7"/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17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C08" w:rsidRPr="000617DD">
        <w:rPr>
          <w:rFonts w:ascii="Times New Roman" w:hAnsi="Times New Roman" w:cs="Times New Roman"/>
          <w:sz w:val="28"/>
          <w:szCs w:val="28"/>
          <w:lang w:val="kk-KZ"/>
        </w:rPr>
        <w:t>Поэтапное увеличение государственных расходов на медицинские услуги в рамках ГОБМП и ОСМС до 2023 года согласно поручению Президента страны в своем послании</w:t>
      </w:r>
      <w:r w:rsidR="00AD2675" w:rsidRPr="000617DD">
        <w:rPr>
          <w:rFonts w:ascii="Times New Roman" w:hAnsi="Times New Roman" w:cs="Times New Roman"/>
          <w:sz w:val="28"/>
          <w:szCs w:val="28"/>
          <w:lang w:val="kk-KZ"/>
        </w:rPr>
        <w:t xml:space="preserve">, в том </w:t>
      </w:r>
      <w:r w:rsidR="00AD2675" w:rsidRPr="000617DD">
        <w:rPr>
          <w:rFonts w:ascii="Times New Roman" w:hAnsi="Times New Roman" w:cs="Times New Roman"/>
          <w:sz w:val="28"/>
          <w:szCs w:val="28"/>
          <w:lang w:val="kk-KZ"/>
        </w:rPr>
        <w:lastRenderedPageBreak/>
        <w:t>числе увеличение расходов на услуги общественного здравоохранения с 4% от гос. расходов до 10%,</w:t>
      </w:r>
      <w:r w:rsidR="000617DD" w:rsidRPr="000617DD">
        <w:rPr>
          <w:rFonts w:ascii="Times New Roman" w:hAnsi="Times New Roman" w:cs="Times New Roman"/>
          <w:sz w:val="28"/>
          <w:szCs w:val="28"/>
          <w:lang w:val="kk-KZ"/>
        </w:rPr>
        <w:t xml:space="preserve"> доведения тарифов на медицинские услуги до уровня их безубыточности через</w:t>
      </w:r>
      <w:r w:rsidR="00AD2675" w:rsidRPr="000617DD">
        <w:rPr>
          <w:rFonts w:ascii="Times New Roman" w:hAnsi="Times New Roman" w:cs="Times New Roman"/>
          <w:sz w:val="28"/>
          <w:szCs w:val="28"/>
          <w:lang w:val="kk-KZ"/>
        </w:rPr>
        <w:t xml:space="preserve"> увеличение среднемесячной заработной платы</w:t>
      </w:r>
      <w:r w:rsidR="000617DD" w:rsidRPr="000617DD">
        <w:rPr>
          <w:rFonts w:ascii="Times New Roman" w:hAnsi="Times New Roman" w:cs="Times New Roman"/>
          <w:sz w:val="28"/>
          <w:szCs w:val="28"/>
          <w:lang w:val="kk-KZ"/>
        </w:rPr>
        <w:t xml:space="preserve"> медицинских работников, а также через возмещение обновления основных средств (мед. Оборудования) медицинским организациям</w:t>
      </w:r>
      <w:r w:rsidR="005D2190" w:rsidRPr="000617D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85CB0" w:rsidRDefault="00685CB0" w:rsidP="00685CB0">
      <w:pPr>
        <w:pStyle w:val="a7"/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2675">
        <w:rPr>
          <w:rFonts w:ascii="Times New Roman" w:hAnsi="Times New Roman" w:cs="Times New Roman"/>
          <w:sz w:val="28"/>
          <w:szCs w:val="28"/>
          <w:lang w:val="kk-KZ"/>
        </w:rPr>
        <w:t xml:space="preserve">Внедрение механизма сооплаты на сервисные услуги в стационаре </w:t>
      </w:r>
      <w:r w:rsidR="00AD2675">
        <w:rPr>
          <w:rFonts w:ascii="Times New Roman" w:hAnsi="Times New Roman" w:cs="Times New Roman"/>
          <w:sz w:val="28"/>
          <w:szCs w:val="28"/>
          <w:lang w:val="kk-KZ"/>
        </w:rPr>
        <w:t>для выведения неформальных платежей в медицине из тени.</w:t>
      </w:r>
    </w:p>
    <w:p w:rsidR="00685CB0" w:rsidRDefault="00AD2675" w:rsidP="008856A9">
      <w:pPr>
        <w:pStyle w:val="a7"/>
        <w:numPr>
          <w:ilvl w:val="0"/>
          <w:numId w:val="5"/>
        </w:numPr>
        <w:spacing w:after="12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17DD">
        <w:rPr>
          <w:rFonts w:ascii="Times New Roman" w:hAnsi="Times New Roman" w:cs="Times New Roman"/>
          <w:sz w:val="28"/>
          <w:szCs w:val="28"/>
          <w:lang w:val="kk-KZ"/>
        </w:rPr>
        <w:t>Наряду с внедрением обязательного социального медицинского страхования следует обеспечить развитие и стимулирование добровольного медицинского страхования путем уменьшения налогооблагаемой базы по налогу на прибыль.</w:t>
      </w:r>
    </w:p>
    <w:p w:rsidR="00A32312" w:rsidRPr="000617DD" w:rsidRDefault="00A32312" w:rsidP="000617DD">
      <w:pPr>
        <w:spacing w:after="12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17DD">
        <w:rPr>
          <w:rFonts w:ascii="Times New Roman" w:hAnsi="Times New Roman" w:cs="Times New Roman"/>
          <w:sz w:val="28"/>
          <w:szCs w:val="28"/>
          <w:lang w:val="kk-KZ"/>
        </w:rPr>
        <w:t>В результате конкретизации перечня медицинских услуг, путем указания условий и лимитов потребления, дефицит ГОБМП в 2019 году будет сокращен на 34%, а с внедрением ОСМС постепенно будет нивелирован, что в свою очередь приведет к снижению частных расходов населения на услуги, входящие в ГОБМП.</w:t>
      </w:r>
    </w:p>
    <w:p w:rsidR="00A32312" w:rsidRPr="000617DD" w:rsidRDefault="00A32312" w:rsidP="000617DD">
      <w:pPr>
        <w:spacing w:after="120" w:line="240" w:lineRule="auto"/>
        <w:ind w:left="284" w:firstLine="28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17DD">
        <w:rPr>
          <w:rFonts w:ascii="Times New Roman" w:hAnsi="Times New Roman" w:cs="Times New Roman"/>
          <w:sz w:val="28"/>
          <w:szCs w:val="28"/>
          <w:lang w:val="kk-KZ"/>
        </w:rPr>
        <w:t xml:space="preserve">В рамках исполнения Послания Главы государства народу Казахстана предполагается, что расходы на здравоохранение со всех источников финансирования увеличатся до 4,7% от ВВП в 2023 г. При этом государственные расходы увеличатся до 2,8% от </w:t>
      </w:r>
      <w:r w:rsidRPr="000617D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ВВП. В связи с чем, совокупные частные расходы сохранятся на уровне 1,3% ВВП, а их доля в </w:t>
      </w:r>
      <w:r w:rsidRPr="000617DD">
        <w:rPr>
          <w:rFonts w:ascii="Times New Roman" w:hAnsi="Times New Roman" w:cs="Times New Roman"/>
          <w:sz w:val="28"/>
          <w:szCs w:val="28"/>
          <w:lang w:val="kk-KZ"/>
        </w:rPr>
        <w:lastRenderedPageBreak/>
        <w:t>общих расходах на здравоохранение снизится с 38% в 2017 году до 29% в 2023 г.</w:t>
      </w:r>
    </w:p>
    <w:p w:rsidR="00A32312" w:rsidRPr="000617DD" w:rsidRDefault="00A32312" w:rsidP="000617DD">
      <w:pPr>
        <w:spacing w:after="12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A32312" w:rsidRPr="000617DD" w:rsidSect="006A013E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6A013E" w:rsidRPr="006A013E" w:rsidRDefault="006A013E" w:rsidP="006A013E">
      <w:pPr>
        <w:spacing w:after="120" w:line="240" w:lineRule="auto"/>
        <w:jc w:val="both"/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8"/>
          <w:szCs w:val="24"/>
        </w:rPr>
        <w:sectPr w:rsidR="006A013E" w:rsidRPr="006A013E" w:rsidSect="006A013E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EF2520" w:rsidRPr="00B06C67" w:rsidRDefault="00EF2520" w:rsidP="00EF2520">
      <w:pPr>
        <w:pStyle w:val="2"/>
        <w:spacing w:after="120" w:line="240" w:lineRule="auto"/>
        <w:ind w:firstLine="567"/>
        <w:rPr>
          <w:color w:val="365F91" w:themeColor="accent1" w:themeShade="BF"/>
          <w:sz w:val="28"/>
          <w:szCs w:val="28"/>
        </w:rPr>
      </w:pPr>
      <w:r w:rsidRPr="00B06C67">
        <w:rPr>
          <w:color w:val="365F91" w:themeColor="accent1" w:themeShade="BF"/>
          <w:sz w:val="28"/>
          <w:szCs w:val="28"/>
        </w:rPr>
        <w:lastRenderedPageBreak/>
        <w:t>Источники: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F78B6">
        <w:rPr>
          <w:rFonts w:ascii="Times New Roman" w:hAnsi="Times New Roman" w:cs="Times New Roman"/>
          <w:sz w:val="28"/>
          <w:szCs w:val="28"/>
          <w:lang w:val="kk-KZ"/>
        </w:rPr>
        <w:t>Аналитический отчет по На</w:t>
      </w:r>
      <w:r>
        <w:rPr>
          <w:rFonts w:ascii="Times New Roman" w:hAnsi="Times New Roman" w:cs="Times New Roman"/>
          <w:sz w:val="28"/>
          <w:szCs w:val="28"/>
          <w:lang w:val="kk-KZ"/>
        </w:rPr>
        <w:t>ци</w:t>
      </w:r>
      <w:r w:rsidRPr="00DF78B6">
        <w:rPr>
          <w:rFonts w:ascii="Times New Roman" w:hAnsi="Times New Roman" w:cs="Times New Roman"/>
          <w:sz w:val="28"/>
          <w:szCs w:val="28"/>
          <w:lang w:val="kk-KZ"/>
        </w:rPr>
        <w:t>ональным счетам здравоохранения за 2017 год, 2018;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Отчет об исполнении бюджета Министерства финансов Республики Казахстан;</w:t>
      </w:r>
    </w:p>
    <w:p w:rsidR="00EF2520" w:rsidRPr="007D5E00" w:rsidRDefault="00EF2520" w:rsidP="00EF2520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D5E00">
        <w:rPr>
          <w:rFonts w:ascii="Times New Roman" w:hAnsi="Times New Roman" w:cs="Times New Roman"/>
          <w:sz w:val="28"/>
          <w:szCs w:val="28"/>
          <w:lang w:val="kk-KZ"/>
        </w:rPr>
        <w:t>Руководство по составлению национальных счетов здравоохранения, Кристофер Дж. Л. Мурре</w:t>
      </w:r>
      <w:r>
        <w:rPr>
          <w:rFonts w:ascii="Times New Roman" w:hAnsi="Times New Roman" w:cs="Times New Roman"/>
          <w:sz w:val="28"/>
          <w:szCs w:val="28"/>
          <w:lang w:val="kk-KZ"/>
        </w:rPr>
        <w:t>й, Роберт Холцман, Анн Питерсен;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0546">
        <w:rPr>
          <w:rFonts w:ascii="Times New Roman" w:hAnsi="Times New Roman" w:cs="Times New Roman"/>
          <w:sz w:val="28"/>
          <w:szCs w:val="28"/>
          <w:lang w:val="kk-KZ"/>
        </w:rPr>
        <w:t xml:space="preserve">Данные с базы данных ОЭСР </w:t>
      </w:r>
      <w:hyperlink r:id="rId19" w:history="1">
        <w:r w:rsidRPr="00BE0435">
          <w:rPr>
            <w:rStyle w:val="ac"/>
            <w:rFonts w:ascii="Times New Roman" w:hAnsi="Times New Roman" w:cs="Times New Roman"/>
            <w:sz w:val="28"/>
            <w:szCs w:val="28"/>
            <w:lang w:val="kk-KZ"/>
          </w:rPr>
          <w:t>https://stats.oecd.org/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F2520" w:rsidRPr="00EE0A2E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E0A2E">
        <w:rPr>
          <w:rFonts w:ascii="Times New Roman" w:hAnsi="Times New Roman" w:cs="Times New Roman"/>
          <w:sz w:val="28"/>
          <w:szCs w:val="28"/>
          <w:lang w:val="kk-KZ"/>
        </w:rPr>
        <w:t xml:space="preserve">Статистика базы данных ВОЗ </w:t>
      </w:r>
      <w:hyperlink r:id="rId20" w:history="1">
        <w:r w:rsidRPr="00BE0435">
          <w:rPr>
            <w:rStyle w:val="ac"/>
            <w:rFonts w:ascii="Times New Roman" w:hAnsi="Times New Roman" w:cs="Times New Roman"/>
            <w:sz w:val="28"/>
            <w:szCs w:val="28"/>
            <w:lang w:val="kk-KZ"/>
          </w:rPr>
          <w:t>http://apps.who.int/nha/database/Home/Index/en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E0A2E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Таблицы НСЗ РК 2010-2017</w:t>
      </w:r>
      <w:r w:rsidRPr="00EE0A2E">
        <w:rPr>
          <w:rFonts w:ascii="Times New Roman" w:hAnsi="Times New Roman" w:cs="Times New Roman"/>
          <w:sz w:val="28"/>
          <w:szCs w:val="28"/>
          <w:lang w:val="kk-KZ"/>
        </w:rPr>
        <w:t xml:space="preserve"> годы;</w:t>
      </w:r>
    </w:p>
    <w:p w:rsidR="00EF2520" w:rsidRPr="00EF3F24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3F24">
        <w:rPr>
          <w:rFonts w:ascii="Times New Roman" w:hAnsi="Times New Roman" w:cs="Times New Roman"/>
          <w:sz w:val="28"/>
          <w:szCs w:val="28"/>
          <w:lang w:val="kk-KZ"/>
        </w:rPr>
        <w:t>Пособие для разработчиков политики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F3F24">
        <w:rPr>
          <w:rFonts w:ascii="Times New Roman" w:hAnsi="Times New Roman" w:cs="Times New Roman"/>
          <w:sz w:val="28"/>
          <w:szCs w:val="28"/>
          <w:lang w:val="kk-KZ"/>
        </w:rPr>
        <w:t>и стратегии здравоохранения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EF3F24">
        <w:rPr>
          <w:rFonts w:ascii="Times New Roman" w:hAnsi="Times New Roman" w:cs="Times New Roman"/>
          <w:sz w:val="28"/>
          <w:szCs w:val="28"/>
          <w:lang w:val="kk-KZ"/>
        </w:rPr>
        <w:t>Ресурсный центр PHRplus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F2520" w:rsidRPr="00EF3F24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3F24">
        <w:rPr>
          <w:rFonts w:ascii="Times New Roman" w:hAnsi="Times New Roman" w:cs="Times New Roman"/>
          <w:sz w:val="28"/>
          <w:szCs w:val="28"/>
          <w:lang w:val="kk-KZ"/>
        </w:rPr>
        <w:t>Статистика Национального Банка;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Статистика Комитета по статистике Министерства национальной экономики Республики Казахстан;</w:t>
      </w:r>
    </w:p>
    <w:p w:rsidR="00EF2520" w:rsidRPr="005F7DC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>OECD, ICHA-HF Classification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of health care financing, 2000;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 xml:space="preserve"> OECD, Eurostat, WHO, A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system of Health Accounts, 2011;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 xml:space="preserve"> Сайт международных экономических показателей </w:t>
      </w:r>
      <w:hyperlink r:id="rId21" w:history="1">
        <w:r w:rsidRPr="00BE0435">
          <w:rPr>
            <w:rStyle w:val="ac"/>
            <w:rFonts w:ascii="Times New Roman" w:hAnsi="Times New Roman" w:cs="Times New Roman"/>
            <w:sz w:val="28"/>
            <w:szCs w:val="28"/>
            <w:lang w:val="kk-KZ"/>
          </w:rPr>
          <w:t>https://tradingeconomics.com/</w:t>
        </w:r>
      </w:hyperlink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F2520" w:rsidRDefault="00EF2520" w:rsidP="00EF2520">
      <w:pPr>
        <w:pStyle w:val="a7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F7DC0">
        <w:rPr>
          <w:rFonts w:ascii="Times New Roman" w:hAnsi="Times New Roman" w:cs="Times New Roman"/>
          <w:sz w:val="28"/>
          <w:szCs w:val="28"/>
          <w:lang w:val="kk-KZ"/>
        </w:rPr>
        <w:t>Системы здравоохранения, здоровье и благосостояние: оценка аргументов в пользу инвестирования в сис</w:t>
      </w:r>
      <w:r>
        <w:rPr>
          <w:rFonts w:ascii="Times New Roman" w:hAnsi="Times New Roman" w:cs="Times New Roman"/>
          <w:sz w:val="28"/>
          <w:szCs w:val="28"/>
          <w:lang w:val="kk-KZ"/>
        </w:rPr>
        <w:t>темы здравоохранения, ВОЗ, 2008;</w:t>
      </w:r>
    </w:p>
    <w:p w:rsidR="00EF2520" w:rsidRPr="009E7180" w:rsidRDefault="00EF2520" w:rsidP="00EF252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color w:val="auto"/>
          <w:sz w:val="28"/>
          <w:szCs w:val="28"/>
          <w:lang w:val="en-US"/>
        </w:rPr>
        <w:t xml:space="preserve">Exploring the thresholds of health expenditure for protection against financial risk. Xu K. et al. / World Health Report 2010 Background Paper. № 19. </w:t>
      </w:r>
      <w:r w:rsidRPr="009E7180">
        <w:rPr>
          <w:color w:val="auto"/>
          <w:sz w:val="28"/>
          <w:szCs w:val="28"/>
          <w:lang w:val="ru-RU"/>
        </w:rPr>
        <w:t>Режим</w:t>
      </w:r>
      <w:r w:rsidRPr="009E7180">
        <w:rPr>
          <w:color w:val="auto"/>
          <w:sz w:val="28"/>
          <w:szCs w:val="28"/>
          <w:lang w:val="en-US"/>
        </w:rPr>
        <w:t xml:space="preserve"> </w:t>
      </w:r>
      <w:r w:rsidRPr="009E7180">
        <w:rPr>
          <w:color w:val="auto"/>
          <w:sz w:val="28"/>
          <w:szCs w:val="28"/>
          <w:lang w:val="ru-RU"/>
        </w:rPr>
        <w:t>доступа</w:t>
      </w:r>
      <w:r w:rsidRPr="009E7180">
        <w:rPr>
          <w:color w:val="auto"/>
          <w:sz w:val="28"/>
          <w:szCs w:val="28"/>
          <w:lang w:val="en-US"/>
        </w:rPr>
        <w:t xml:space="preserve">: </w:t>
      </w:r>
      <w:r w:rsidRPr="009E7180">
        <w:rPr>
          <w:rStyle w:val="ac"/>
          <w:rFonts w:cstheme="minorBidi"/>
          <w:i/>
          <w:iCs/>
          <w:szCs w:val="22"/>
        </w:rPr>
        <w:t>http://www.who.int/ healthsystems/topics/financing/healthreport/19THE-thresv2.pdf</w:t>
      </w:r>
      <w:r w:rsidRPr="005F7DC0">
        <w:rPr>
          <w:color w:val="auto"/>
          <w:sz w:val="28"/>
          <w:szCs w:val="28"/>
          <w:lang w:val="en-US"/>
        </w:rPr>
        <w:t>;</w:t>
      </w:r>
    </w:p>
    <w:p w:rsidR="00EF2520" w:rsidRPr="009E7180" w:rsidRDefault="00EF2520" w:rsidP="00EF252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color w:val="auto"/>
          <w:sz w:val="28"/>
          <w:szCs w:val="28"/>
          <w:lang w:val="en-US"/>
        </w:rPr>
        <w:t xml:space="preserve"> The political economy of the public-private mix in heath expenditure: An empirical review of thirteen OECD countries. </w:t>
      </w:r>
      <w:r w:rsidRPr="00B80D35">
        <w:rPr>
          <w:color w:val="auto"/>
          <w:sz w:val="28"/>
          <w:szCs w:val="28"/>
          <w:lang w:val="en-US"/>
        </w:rPr>
        <w:t xml:space="preserve">Mou H. </w:t>
      </w:r>
      <w:r w:rsidRPr="009E7180">
        <w:rPr>
          <w:color w:val="auto"/>
          <w:sz w:val="28"/>
          <w:szCs w:val="28"/>
          <w:lang w:val="en-US"/>
        </w:rPr>
        <w:t>// He</w:t>
      </w:r>
      <w:r>
        <w:rPr>
          <w:color w:val="auto"/>
          <w:sz w:val="28"/>
          <w:szCs w:val="28"/>
          <w:lang w:val="en-US"/>
        </w:rPr>
        <w:t>alth Рolicy. 2013. Т. 113. № 3</w:t>
      </w:r>
      <w:r>
        <w:rPr>
          <w:color w:val="auto"/>
          <w:sz w:val="28"/>
          <w:szCs w:val="28"/>
          <w:lang w:val="ru-RU"/>
        </w:rPr>
        <w:t>;</w:t>
      </w:r>
    </w:p>
    <w:p w:rsidR="00EF2520" w:rsidRPr="009E7180" w:rsidRDefault="00EF2520" w:rsidP="00EF252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color w:val="auto"/>
          <w:sz w:val="28"/>
          <w:szCs w:val="28"/>
          <w:lang w:val="en-US"/>
        </w:rPr>
        <w:t xml:space="preserve"> Cavalieri M., Guccio C. Health expenditure in Italy: a regional analysis of the public-private mix / Società italiana di economia pubblica</w:t>
      </w:r>
      <w:r>
        <w:rPr>
          <w:color w:val="auto"/>
          <w:sz w:val="28"/>
          <w:szCs w:val="28"/>
          <w:lang w:val="en-US"/>
        </w:rPr>
        <w:t>. XVIII Conferenza. Pavia, 2006</w:t>
      </w:r>
      <w:r>
        <w:rPr>
          <w:color w:val="auto"/>
          <w:sz w:val="28"/>
          <w:szCs w:val="28"/>
          <w:lang w:val="ru-RU"/>
        </w:rPr>
        <w:t>;</w:t>
      </w:r>
    </w:p>
    <w:p w:rsidR="00EF2520" w:rsidRPr="009E7180" w:rsidRDefault="00EF2520" w:rsidP="00EF2520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lang w:val="en-US"/>
        </w:rPr>
      </w:pPr>
      <w:r w:rsidRPr="009E7180">
        <w:rPr>
          <w:rFonts w:ascii="Franklin Gothic Book" w:hAnsi="Franklin Gothic Book" w:cs="Franklin Gothic Book"/>
          <w:sz w:val="16"/>
          <w:szCs w:val="16"/>
          <w:lang w:val="en-US"/>
        </w:rPr>
        <w:t xml:space="preserve"> </w:t>
      </w:r>
      <w:r w:rsidRPr="009E7180">
        <w:rPr>
          <w:color w:val="auto"/>
          <w:sz w:val="28"/>
          <w:szCs w:val="28"/>
          <w:lang w:val="en-US"/>
        </w:rPr>
        <w:t>Bilger M., Chaze J.-P. What Drives Individual Health Expenditure in Switzerland? // Swiss Journal of Economics and Statistics. 2008. № 144 (3).</w:t>
      </w:r>
    </w:p>
    <w:p w:rsidR="00C56A3E" w:rsidRPr="00C56A3E" w:rsidRDefault="00EF2520" w:rsidP="00C56A3E">
      <w:pPr>
        <w:pStyle w:val="Default"/>
        <w:numPr>
          <w:ilvl w:val="0"/>
          <w:numId w:val="3"/>
        </w:numPr>
        <w:jc w:val="both"/>
        <w:rPr>
          <w:rStyle w:val="ac"/>
          <w:color w:val="auto"/>
          <w:sz w:val="28"/>
          <w:szCs w:val="28"/>
          <w:lang w:val="en-US"/>
        </w:rPr>
      </w:pPr>
      <w:r w:rsidRPr="009E7180">
        <w:rPr>
          <w:rFonts w:ascii="Franklin Gothic Book" w:hAnsi="Franklin Gothic Book" w:cs="Franklin Gothic Book"/>
          <w:sz w:val="16"/>
          <w:szCs w:val="16"/>
          <w:lang w:val="en-US"/>
        </w:rPr>
        <w:t xml:space="preserve"> </w:t>
      </w:r>
      <w:r w:rsidRPr="009E7180">
        <w:rPr>
          <w:color w:val="auto"/>
          <w:sz w:val="28"/>
          <w:szCs w:val="28"/>
          <w:lang w:val="en-US"/>
        </w:rPr>
        <w:t>Sanwald A., Theurl E. What drives out-of pocket health expenditures of private households? Empirical evidence from the Austrian household bud</w:t>
      </w:r>
      <w:r>
        <w:rPr>
          <w:color w:val="auto"/>
          <w:sz w:val="28"/>
          <w:szCs w:val="28"/>
          <w:lang w:val="en-US"/>
        </w:rPr>
        <w:t>get survey</w:t>
      </w:r>
      <w:r w:rsidRPr="009E7180">
        <w:rPr>
          <w:color w:val="auto"/>
          <w:sz w:val="28"/>
          <w:szCs w:val="28"/>
          <w:lang w:val="en-US"/>
        </w:rPr>
        <w:t xml:space="preserve">/ University of Innsbruck. Working Papers in Economics and Statistics. 2014. № 4. Режим доступа: </w:t>
      </w:r>
      <w:r w:rsidRPr="009E7180">
        <w:rPr>
          <w:rStyle w:val="ac"/>
          <w:rFonts w:cstheme="minorBidi"/>
          <w:i/>
          <w:iCs/>
          <w:szCs w:val="22"/>
        </w:rPr>
        <w:t>http://eeecon.uibk.ac.at/wope</w:t>
      </w:r>
      <w:r>
        <w:rPr>
          <w:rStyle w:val="ac"/>
          <w:rFonts w:cstheme="minorBidi"/>
          <w:i/>
          <w:iCs/>
          <w:szCs w:val="22"/>
        </w:rPr>
        <w:t>c2/ repec/inn/wpaper/2014-04.pd</w:t>
      </w:r>
      <w:r w:rsidRPr="005F7DC0">
        <w:rPr>
          <w:rStyle w:val="ac"/>
          <w:rFonts w:cstheme="minorBidi"/>
          <w:i/>
          <w:iCs/>
          <w:szCs w:val="22"/>
          <w:lang w:val="en-US"/>
        </w:rPr>
        <w:t>.</w:t>
      </w:r>
      <w:r w:rsidR="00A32312" w:rsidRPr="00A32312">
        <w:rPr>
          <w:rStyle w:val="ac"/>
          <w:rFonts w:cstheme="minorBidi"/>
          <w:i/>
          <w:iCs/>
          <w:szCs w:val="22"/>
          <w:lang w:val="en-US"/>
        </w:rPr>
        <w:t>;</w:t>
      </w:r>
    </w:p>
    <w:p w:rsidR="00C56A3E" w:rsidRPr="008152F6" w:rsidRDefault="00C56A3E" w:rsidP="00C56A3E">
      <w:pPr>
        <w:pStyle w:val="Default"/>
        <w:numPr>
          <w:ilvl w:val="0"/>
          <w:numId w:val="3"/>
        </w:numPr>
        <w:jc w:val="both"/>
        <w:rPr>
          <w:color w:val="auto"/>
          <w:sz w:val="28"/>
          <w:szCs w:val="28"/>
          <w:u w:val="single"/>
          <w:lang w:val="ru-RU"/>
        </w:rPr>
      </w:pPr>
      <w:r>
        <w:rPr>
          <w:color w:val="auto"/>
          <w:sz w:val="28"/>
          <w:szCs w:val="28"/>
          <w:lang w:val="ru-RU"/>
        </w:rPr>
        <w:t xml:space="preserve">Раздел «Цены и тарифы» сайта Комитета по статистике МНЭ РК </w:t>
      </w:r>
      <w:hyperlink r:id="rId22" w:history="1">
        <w:r w:rsidRPr="001F4FFC">
          <w:rPr>
            <w:rStyle w:val="ac"/>
            <w:rFonts w:cstheme="minorBidi"/>
            <w:i/>
            <w:iCs/>
            <w:szCs w:val="22"/>
          </w:rPr>
          <w:t>http://</w:t>
        </w:r>
        <w:r w:rsidRPr="001F4FFC">
          <w:rPr>
            <w:rStyle w:val="ac"/>
            <w:sz w:val="28"/>
            <w:szCs w:val="28"/>
            <w:lang w:val="ru-RU"/>
          </w:rPr>
          <w:t>stat.gov.k</w:t>
        </w:r>
        <w:r w:rsidRPr="001F4FFC">
          <w:rPr>
            <w:rStyle w:val="ac"/>
            <w:sz w:val="28"/>
            <w:szCs w:val="28"/>
            <w:lang w:val="en-US"/>
          </w:rPr>
          <w:t>z</w:t>
        </w:r>
      </w:hyperlink>
      <w:r>
        <w:rPr>
          <w:color w:val="auto"/>
          <w:sz w:val="28"/>
          <w:szCs w:val="28"/>
          <w:lang w:val="ru-RU"/>
        </w:rPr>
        <w:t>;</w:t>
      </w:r>
    </w:p>
    <w:p w:rsidR="008152F6" w:rsidRDefault="008152F6" w:rsidP="008152F6">
      <w:pPr>
        <w:pStyle w:val="a7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19F">
        <w:rPr>
          <w:rFonts w:ascii="Times New Roman" w:hAnsi="Times New Roman" w:cs="Times New Roman"/>
          <w:sz w:val="28"/>
          <w:szCs w:val="28"/>
          <w:lang w:val="en-US"/>
        </w:rPr>
        <w:lastRenderedPageBreak/>
        <w:t>«Developing health system efficiency indicators: Overview of key concepts, general approaches, and current and future work». Meeting of OECD Health Data National Correspondents, OECD, 2015.</w:t>
      </w:r>
    </w:p>
    <w:p w:rsidR="008152F6" w:rsidRPr="0048331A" w:rsidRDefault="008152F6" w:rsidP="008152F6">
      <w:pPr>
        <w:pStyle w:val="a7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19F">
        <w:rPr>
          <w:rFonts w:ascii="Times New Roman" w:hAnsi="Times New Roman" w:cs="Times New Roman"/>
          <w:sz w:val="28"/>
          <w:szCs w:val="28"/>
          <w:lang w:val="en-US"/>
        </w:rPr>
        <w:t>«Developing health care efficiency indicators: current status and possible next steps». Meeting of OECD Health Data National Correspondents, OECD, 2014.</w:t>
      </w:r>
    </w:p>
    <w:p w:rsidR="008152F6" w:rsidRPr="0048331A" w:rsidRDefault="008152F6" w:rsidP="008152F6">
      <w:pPr>
        <w:pStyle w:val="a7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Labour productivity indicators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en-US"/>
        </w:rPr>
        <w:t>, OECD, 2008</w:t>
      </w:r>
    </w:p>
    <w:p w:rsidR="008152F6" w:rsidRDefault="008152F6" w:rsidP="008152F6">
      <w:pPr>
        <w:pStyle w:val="a7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319F">
        <w:rPr>
          <w:rFonts w:ascii="Times New Roman" w:hAnsi="Times New Roman" w:cs="Times New Roman"/>
          <w:sz w:val="28"/>
          <w:szCs w:val="28"/>
          <w:lang w:val="en-US"/>
        </w:rPr>
        <w:t>«Performance measurement for health system improvement: experiences, challenges and prospects». Smith</w:t>
      </w:r>
      <w:r w:rsidRPr="0002319F">
        <w:rPr>
          <w:rFonts w:ascii="Times New Roman" w:hAnsi="Times New Roman" w:cs="Times New Roman"/>
          <w:sz w:val="28"/>
          <w:szCs w:val="28"/>
        </w:rPr>
        <w:t xml:space="preserve"> 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2319F">
        <w:rPr>
          <w:rFonts w:ascii="Times New Roman" w:hAnsi="Times New Roman" w:cs="Times New Roman"/>
          <w:sz w:val="28"/>
          <w:szCs w:val="28"/>
        </w:rPr>
        <w:t>.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2319F">
        <w:rPr>
          <w:rFonts w:ascii="Times New Roman" w:hAnsi="Times New Roman" w:cs="Times New Roman"/>
          <w:sz w:val="28"/>
          <w:szCs w:val="28"/>
        </w:rPr>
        <w:t xml:space="preserve">., 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Mossialos</w:t>
      </w:r>
      <w:r w:rsidRPr="0002319F">
        <w:rPr>
          <w:rFonts w:ascii="Times New Roman" w:hAnsi="Times New Roman" w:cs="Times New Roman"/>
          <w:sz w:val="28"/>
          <w:szCs w:val="28"/>
        </w:rPr>
        <w:t xml:space="preserve"> 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2319F">
        <w:rPr>
          <w:rFonts w:ascii="Times New Roman" w:hAnsi="Times New Roman" w:cs="Times New Roman"/>
          <w:sz w:val="28"/>
          <w:szCs w:val="28"/>
        </w:rPr>
        <w:t xml:space="preserve">. 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02319F">
        <w:rPr>
          <w:rFonts w:ascii="Times New Roman" w:hAnsi="Times New Roman" w:cs="Times New Roman"/>
          <w:sz w:val="28"/>
          <w:szCs w:val="28"/>
        </w:rPr>
        <w:t xml:space="preserve"> 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Papanicolas</w:t>
      </w:r>
      <w:r w:rsidRPr="0002319F">
        <w:rPr>
          <w:rFonts w:ascii="Times New Roman" w:hAnsi="Times New Roman" w:cs="Times New Roman"/>
          <w:sz w:val="28"/>
          <w:szCs w:val="28"/>
        </w:rPr>
        <w:t xml:space="preserve"> 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2319F">
        <w:rPr>
          <w:rFonts w:ascii="Times New Roman" w:hAnsi="Times New Roman" w:cs="Times New Roman"/>
          <w:sz w:val="28"/>
          <w:szCs w:val="28"/>
        </w:rPr>
        <w:t xml:space="preserve">., </w:t>
      </w:r>
      <w:r w:rsidRPr="0002319F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02319F">
        <w:rPr>
          <w:rFonts w:ascii="Times New Roman" w:hAnsi="Times New Roman" w:cs="Times New Roman"/>
          <w:sz w:val="28"/>
          <w:szCs w:val="28"/>
        </w:rPr>
        <w:t>, 2008.</w:t>
      </w:r>
    </w:p>
    <w:p w:rsidR="008152F6" w:rsidRPr="000C16A8" w:rsidRDefault="008152F6" w:rsidP="008152F6">
      <w:pPr>
        <w:pStyle w:val="a7"/>
        <w:numPr>
          <w:ilvl w:val="0"/>
          <w:numId w:val="3"/>
        </w:numPr>
        <w:spacing w:after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C16A8">
        <w:rPr>
          <w:rFonts w:ascii="Times New Roman" w:hAnsi="Times New Roman" w:cs="Times New Roman"/>
          <w:sz w:val="28"/>
          <w:szCs w:val="28"/>
        </w:rPr>
        <w:t>Системы здравоохранения, здоровье и благосостояние: оценка аргументов в пользу инвестирования в системы здравоохранения</w:t>
      </w:r>
      <w:r>
        <w:rPr>
          <w:rFonts w:ascii="Times New Roman" w:hAnsi="Times New Roman" w:cs="Times New Roman"/>
          <w:sz w:val="28"/>
          <w:szCs w:val="28"/>
        </w:rPr>
        <w:t>», ВОЗ, 2008.</w:t>
      </w:r>
    </w:p>
    <w:p w:rsidR="00674B6B" w:rsidRPr="00AD2675" w:rsidRDefault="008152F6" w:rsidP="00B925D9">
      <w:pPr>
        <w:pStyle w:val="a7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674B6B" w:rsidRPr="00AD2675" w:rsidSect="006A013E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  <w:r w:rsidRPr="00AD2675">
        <w:rPr>
          <w:rFonts w:ascii="Times New Roman" w:hAnsi="Times New Roman" w:cs="Times New Roman"/>
          <w:sz w:val="28"/>
          <w:szCs w:val="28"/>
        </w:rPr>
        <w:t>«Повышение потенциала по разработке Национальных Счетов Здравоохранения и проведению анализа в Казахстане: Рекомендации по совершенствованию аналитических аспектов и дезагрегированию данных по областям». Георгий Г. Астана, 2014.</w:t>
      </w:r>
    </w:p>
    <w:p w:rsidR="00674B6B" w:rsidRPr="00C56A3E" w:rsidRDefault="00674B6B" w:rsidP="00464FAD">
      <w:pPr>
        <w:spacing w:after="120" w:line="240" w:lineRule="auto"/>
        <w:rPr>
          <w:rFonts w:ascii="Times New Roman" w:hAnsi="Times New Roman" w:cs="Times New Roman"/>
          <w:b/>
          <w:i/>
          <w:szCs w:val="28"/>
        </w:rPr>
        <w:sectPr w:rsidR="00674B6B" w:rsidRPr="00C56A3E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464FAD" w:rsidRPr="00C56A3E" w:rsidRDefault="00464FAD" w:rsidP="0029462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64FAD" w:rsidRPr="00C56A3E" w:rsidSect="00365961">
          <w:type w:val="continuous"/>
          <w:pgSz w:w="11906" w:h="16838"/>
          <w:pgMar w:top="709" w:right="850" w:bottom="1134" w:left="1418" w:header="708" w:footer="708" w:gutter="0"/>
          <w:cols w:num="2" w:space="708"/>
          <w:docGrid w:linePitch="360"/>
        </w:sectPr>
      </w:pPr>
    </w:p>
    <w:p w:rsidR="00294622" w:rsidRPr="00350D91" w:rsidRDefault="00294622" w:rsidP="008D538E">
      <w:pPr>
        <w:pStyle w:val="2"/>
        <w:spacing w:after="120" w:line="240" w:lineRule="auto"/>
        <w:rPr>
          <w:color w:val="365F91" w:themeColor="accent1" w:themeShade="BF"/>
          <w:sz w:val="28"/>
          <w:szCs w:val="28"/>
          <w:lang w:val="kk-KZ"/>
        </w:rPr>
      </w:pPr>
    </w:p>
    <w:p w:rsidR="008934E9" w:rsidRPr="008934E9" w:rsidRDefault="008934E9" w:rsidP="008934E9">
      <w:pPr>
        <w:rPr>
          <w:rFonts w:ascii="Times New Roman" w:hAnsi="Times New Roman" w:cs="Times New Roman"/>
          <w:sz w:val="28"/>
          <w:szCs w:val="28"/>
          <w:lang w:val="kk-KZ"/>
        </w:rPr>
        <w:sectPr w:rsidR="008934E9" w:rsidRPr="008934E9" w:rsidSect="008934E9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674B6B" w:rsidRPr="00C56A3E" w:rsidRDefault="00674B6B" w:rsidP="00C40546">
      <w:pPr>
        <w:spacing w:after="120" w:line="240" w:lineRule="auto"/>
        <w:jc w:val="both"/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  <w:sectPr w:rsidR="00674B6B" w:rsidRPr="00C56A3E" w:rsidSect="002D1F83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464FAD" w:rsidRPr="00C56A3E" w:rsidRDefault="00464FAD" w:rsidP="00350D91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64FAD" w:rsidRPr="00C56A3E" w:rsidSect="00464FAD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9F2242" w:rsidRDefault="009F2242" w:rsidP="0030791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  <w:sectPr w:rsidR="009F2242" w:rsidSect="009F2242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p w:rsidR="00DF78B6" w:rsidRPr="005F7DC0" w:rsidRDefault="00DF78B6" w:rsidP="0030791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F78B6" w:rsidRPr="005F7DC0" w:rsidSect="00674B6B">
      <w:type w:val="continuous"/>
      <w:pgSz w:w="11906" w:h="16838"/>
      <w:pgMar w:top="709" w:right="850" w:bottom="1134" w:left="1418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C9E" w:rsidRDefault="00060C9E" w:rsidP="008934E9">
      <w:pPr>
        <w:spacing w:after="0" w:line="240" w:lineRule="auto"/>
      </w:pPr>
      <w:r>
        <w:separator/>
      </w:r>
    </w:p>
  </w:endnote>
  <w:endnote w:type="continuationSeparator" w:id="0">
    <w:p w:rsidR="00060C9E" w:rsidRDefault="00060C9E" w:rsidP="00893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8135767"/>
      <w:docPartObj>
        <w:docPartGallery w:val="Page Numbers (Bottom of Page)"/>
        <w:docPartUnique/>
      </w:docPartObj>
    </w:sdtPr>
    <w:sdtEndPr/>
    <w:sdtContent>
      <w:p w:rsidR="008856A9" w:rsidRDefault="008856A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996">
          <w:rPr>
            <w:noProof/>
          </w:rPr>
          <w:t>1</w:t>
        </w:r>
        <w:r>
          <w:fldChar w:fldCharType="end"/>
        </w:r>
      </w:p>
    </w:sdtContent>
  </w:sdt>
  <w:p w:rsidR="008856A9" w:rsidRDefault="008856A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C9E" w:rsidRDefault="00060C9E" w:rsidP="008934E9">
      <w:pPr>
        <w:spacing w:after="0" w:line="240" w:lineRule="auto"/>
      </w:pPr>
      <w:r>
        <w:separator/>
      </w:r>
    </w:p>
  </w:footnote>
  <w:footnote w:type="continuationSeparator" w:id="0">
    <w:p w:rsidR="00060C9E" w:rsidRDefault="00060C9E" w:rsidP="00893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7CC1"/>
    <w:multiLevelType w:val="hybridMultilevel"/>
    <w:tmpl w:val="8A149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3519E"/>
    <w:multiLevelType w:val="hybridMultilevel"/>
    <w:tmpl w:val="B9EE8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901C1"/>
    <w:multiLevelType w:val="hybridMultilevel"/>
    <w:tmpl w:val="F5F8EE68"/>
    <w:lvl w:ilvl="0" w:tplc="922A00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505E4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0028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D83C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EE4E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5049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E08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64CA3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0FD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3092F"/>
    <w:multiLevelType w:val="hybridMultilevel"/>
    <w:tmpl w:val="1D92C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3D3"/>
    <w:multiLevelType w:val="hybridMultilevel"/>
    <w:tmpl w:val="47C605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9D7CCD"/>
    <w:multiLevelType w:val="hybridMultilevel"/>
    <w:tmpl w:val="45E24A36"/>
    <w:lvl w:ilvl="0" w:tplc="78CEF43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0A79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1ABC5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84A5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5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705A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7819A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8C59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AE13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B18FF"/>
    <w:multiLevelType w:val="hybridMultilevel"/>
    <w:tmpl w:val="56F0B36E"/>
    <w:lvl w:ilvl="0" w:tplc="1F488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E9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65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44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CD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0C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580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8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60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A455735"/>
    <w:multiLevelType w:val="hybridMultilevel"/>
    <w:tmpl w:val="87F40400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8" w15:restartNumberingAfterBreak="0">
    <w:nsid w:val="5F8422BA"/>
    <w:multiLevelType w:val="hybridMultilevel"/>
    <w:tmpl w:val="D67A8594"/>
    <w:lvl w:ilvl="0" w:tplc="7DE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4996C11"/>
    <w:multiLevelType w:val="hybridMultilevel"/>
    <w:tmpl w:val="A3125366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9"/>
  </w:num>
  <w:num w:numId="7">
    <w:abstractNumId w:val="4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666"/>
    <w:rsid w:val="00026D3F"/>
    <w:rsid w:val="00046C08"/>
    <w:rsid w:val="00060C9E"/>
    <w:rsid w:val="000617DD"/>
    <w:rsid w:val="000639A5"/>
    <w:rsid w:val="00071B12"/>
    <w:rsid w:val="00075697"/>
    <w:rsid w:val="00080EE8"/>
    <w:rsid w:val="000924FB"/>
    <w:rsid w:val="000A20C6"/>
    <w:rsid w:val="000A3A49"/>
    <w:rsid w:val="000D628D"/>
    <w:rsid w:val="000E7E9E"/>
    <w:rsid w:val="000F0350"/>
    <w:rsid w:val="0011036D"/>
    <w:rsid w:val="001130D4"/>
    <w:rsid w:val="0011419C"/>
    <w:rsid w:val="00116654"/>
    <w:rsid w:val="00124F09"/>
    <w:rsid w:val="0013167B"/>
    <w:rsid w:val="00133D2E"/>
    <w:rsid w:val="001354FB"/>
    <w:rsid w:val="00144950"/>
    <w:rsid w:val="00153666"/>
    <w:rsid w:val="00157316"/>
    <w:rsid w:val="00162F25"/>
    <w:rsid w:val="00177250"/>
    <w:rsid w:val="001A63E3"/>
    <w:rsid w:val="001D3A63"/>
    <w:rsid w:val="001D524E"/>
    <w:rsid w:val="001E3E2A"/>
    <w:rsid w:val="002046DA"/>
    <w:rsid w:val="002112AD"/>
    <w:rsid w:val="002176CD"/>
    <w:rsid w:val="00221469"/>
    <w:rsid w:val="00223DE7"/>
    <w:rsid w:val="0022447C"/>
    <w:rsid w:val="00235800"/>
    <w:rsid w:val="0025498D"/>
    <w:rsid w:val="002718FA"/>
    <w:rsid w:val="002925AF"/>
    <w:rsid w:val="00294622"/>
    <w:rsid w:val="002A7484"/>
    <w:rsid w:val="002D1F83"/>
    <w:rsid w:val="002D3C54"/>
    <w:rsid w:val="002F7065"/>
    <w:rsid w:val="0030108D"/>
    <w:rsid w:val="00306860"/>
    <w:rsid w:val="0030791C"/>
    <w:rsid w:val="00331ABA"/>
    <w:rsid w:val="00347594"/>
    <w:rsid w:val="00350D91"/>
    <w:rsid w:val="00365961"/>
    <w:rsid w:val="00386490"/>
    <w:rsid w:val="003E0AC5"/>
    <w:rsid w:val="00420FA2"/>
    <w:rsid w:val="00427E0D"/>
    <w:rsid w:val="004330E5"/>
    <w:rsid w:val="004367E1"/>
    <w:rsid w:val="004420F2"/>
    <w:rsid w:val="0045024E"/>
    <w:rsid w:val="00464FAD"/>
    <w:rsid w:val="00480A3B"/>
    <w:rsid w:val="004A0BE6"/>
    <w:rsid w:val="004A5C3E"/>
    <w:rsid w:val="004B48BE"/>
    <w:rsid w:val="004B754B"/>
    <w:rsid w:val="004C5055"/>
    <w:rsid w:val="004D40DB"/>
    <w:rsid w:val="00512D7F"/>
    <w:rsid w:val="00516FC4"/>
    <w:rsid w:val="005310F7"/>
    <w:rsid w:val="00574A23"/>
    <w:rsid w:val="00585EEB"/>
    <w:rsid w:val="005C3BF0"/>
    <w:rsid w:val="005D2190"/>
    <w:rsid w:val="005D6B15"/>
    <w:rsid w:val="005F0E73"/>
    <w:rsid w:val="005F7DC0"/>
    <w:rsid w:val="00607478"/>
    <w:rsid w:val="006316E6"/>
    <w:rsid w:val="00640B01"/>
    <w:rsid w:val="00641DD8"/>
    <w:rsid w:val="006420C1"/>
    <w:rsid w:val="00674B6B"/>
    <w:rsid w:val="00685CB0"/>
    <w:rsid w:val="0068773E"/>
    <w:rsid w:val="00695912"/>
    <w:rsid w:val="006A013E"/>
    <w:rsid w:val="006A4F86"/>
    <w:rsid w:val="006B3A9D"/>
    <w:rsid w:val="006C5280"/>
    <w:rsid w:val="006D556F"/>
    <w:rsid w:val="006E36AD"/>
    <w:rsid w:val="006F6714"/>
    <w:rsid w:val="00720EF6"/>
    <w:rsid w:val="007331D3"/>
    <w:rsid w:val="00752268"/>
    <w:rsid w:val="0076236E"/>
    <w:rsid w:val="00776249"/>
    <w:rsid w:val="00777CA4"/>
    <w:rsid w:val="00794123"/>
    <w:rsid w:val="00795E6B"/>
    <w:rsid w:val="007C6949"/>
    <w:rsid w:val="007D1288"/>
    <w:rsid w:val="007D494F"/>
    <w:rsid w:val="007D5E00"/>
    <w:rsid w:val="007F7CD8"/>
    <w:rsid w:val="007F7D08"/>
    <w:rsid w:val="00804164"/>
    <w:rsid w:val="0080715E"/>
    <w:rsid w:val="008152F6"/>
    <w:rsid w:val="00844F9C"/>
    <w:rsid w:val="008647F1"/>
    <w:rsid w:val="00874C96"/>
    <w:rsid w:val="00874F36"/>
    <w:rsid w:val="00884505"/>
    <w:rsid w:val="008856A9"/>
    <w:rsid w:val="00892CC5"/>
    <w:rsid w:val="008934E9"/>
    <w:rsid w:val="008969C8"/>
    <w:rsid w:val="008A083D"/>
    <w:rsid w:val="008A35AC"/>
    <w:rsid w:val="008B39C3"/>
    <w:rsid w:val="008B6FB0"/>
    <w:rsid w:val="008C0533"/>
    <w:rsid w:val="008D538E"/>
    <w:rsid w:val="008E2428"/>
    <w:rsid w:val="008F22F4"/>
    <w:rsid w:val="00902E92"/>
    <w:rsid w:val="009173AB"/>
    <w:rsid w:val="009307A7"/>
    <w:rsid w:val="009437BE"/>
    <w:rsid w:val="00947392"/>
    <w:rsid w:val="009541AB"/>
    <w:rsid w:val="009558C9"/>
    <w:rsid w:val="00972F4E"/>
    <w:rsid w:val="00987526"/>
    <w:rsid w:val="009A57B7"/>
    <w:rsid w:val="009A5E35"/>
    <w:rsid w:val="009C438E"/>
    <w:rsid w:val="009F2242"/>
    <w:rsid w:val="009F2656"/>
    <w:rsid w:val="009F566C"/>
    <w:rsid w:val="00A114C5"/>
    <w:rsid w:val="00A1330A"/>
    <w:rsid w:val="00A25983"/>
    <w:rsid w:val="00A313D4"/>
    <w:rsid w:val="00A32312"/>
    <w:rsid w:val="00A341E2"/>
    <w:rsid w:val="00A47955"/>
    <w:rsid w:val="00A64DBF"/>
    <w:rsid w:val="00A80517"/>
    <w:rsid w:val="00AA698A"/>
    <w:rsid w:val="00AB2BF1"/>
    <w:rsid w:val="00AC7CF8"/>
    <w:rsid w:val="00AD2675"/>
    <w:rsid w:val="00AD40C7"/>
    <w:rsid w:val="00AD624D"/>
    <w:rsid w:val="00B06C67"/>
    <w:rsid w:val="00B14053"/>
    <w:rsid w:val="00B16E22"/>
    <w:rsid w:val="00B22444"/>
    <w:rsid w:val="00B31046"/>
    <w:rsid w:val="00B55906"/>
    <w:rsid w:val="00B57C47"/>
    <w:rsid w:val="00B63996"/>
    <w:rsid w:val="00B74535"/>
    <w:rsid w:val="00B76FBA"/>
    <w:rsid w:val="00B93282"/>
    <w:rsid w:val="00B96D3B"/>
    <w:rsid w:val="00BA428D"/>
    <w:rsid w:val="00BB4360"/>
    <w:rsid w:val="00BC19C9"/>
    <w:rsid w:val="00BC6B44"/>
    <w:rsid w:val="00BF0005"/>
    <w:rsid w:val="00C10D6F"/>
    <w:rsid w:val="00C220C4"/>
    <w:rsid w:val="00C33C7C"/>
    <w:rsid w:val="00C34592"/>
    <w:rsid w:val="00C37CA2"/>
    <w:rsid w:val="00C40546"/>
    <w:rsid w:val="00C450C8"/>
    <w:rsid w:val="00C56A3E"/>
    <w:rsid w:val="00C56E36"/>
    <w:rsid w:val="00C748DA"/>
    <w:rsid w:val="00CA3E5C"/>
    <w:rsid w:val="00CA6DBF"/>
    <w:rsid w:val="00CA75CC"/>
    <w:rsid w:val="00CC5F4C"/>
    <w:rsid w:val="00CD1D7B"/>
    <w:rsid w:val="00CD3DD5"/>
    <w:rsid w:val="00D1368B"/>
    <w:rsid w:val="00D36946"/>
    <w:rsid w:val="00D6233D"/>
    <w:rsid w:val="00DA1311"/>
    <w:rsid w:val="00DC518E"/>
    <w:rsid w:val="00DD00BC"/>
    <w:rsid w:val="00DE13FE"/>
    <w:rsid w:val="00DF78B6"/>
    <w:rsid w:val="00E03EC2"/>
    <w:rsid w:val="00E12594"/>
    <w:rsid w:val="00E12C0F"/>
    <w:rsid w:val="00E13A30"/>
    <w:rsid w:val="00E153CA"/>
    <w:rsid w:val="00E34CF6"/>
    <w:rsid w:val="00E476DC"/>
    <w:rsid w:val="00E47FB5"/>
    <w:rsid w:val="00E5294F"/>
    <w:rsid w:val="00E6227E"/>
    <w:rsid w:val="00E8291C"/>
    <w:rsid w:val="00E90D4F"/>
    <w:rsid w:val="00EE0A2E"/>
    <w:rsid w:val="00EF04BA"/>
    <w:rsid w:val="00EF2520"/>
    <w:rsid w:val="00EF3F24"/>
    <w:rsid w:val="00F07A56"/>
    <w:rsid w:val="00F160FF"/>
    <w:rsid w:val="00F24926"/>
    <w:rsid w:val="00F24F16"/>
    <w:rsid w:val="00F37AC2"/>
    <w:rsid w:val="00F614B7"/>
    <w:rsid w:val="00F73434"/>
    <w:rsid w:val="00F73CDE"/>
    <w:rsid w:val="00F77CAE"/>
    <w:rsid w:val="00F859F9"/>
    <w:rsid w:val="00F971D1"/>
    <w:rsid w:val="00FA6A17"/>
    <w:rsid w:val="00FC2B32"/>
    <w:rsid w:val="00FC5AB1"/>
    <w:rsid w:val="00FC789D"/>
    <w:rsid w:val="00FD2D91"/>
    <w:rsid w:val="00FF0DCF"/>
    <w:rsid w:val="00FF4E10"/>
    <w:rsid w:val="00FF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945F4-2558-4286-93C9-1A8354209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0B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40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1A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558C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40B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40B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D6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28D"/>
    <w:rPr>
      <w:rFonts w:ascii="Tahoma" w:hAnsi="Tahoma" w:cs="Tahoma"/>
      <w:sz w:val="16"/>
      <w:szCs w:val="16"/>
    </w:rPr>
  </w:style>
  <w:style w:type="paragraph" w:styleId="a5">
    <w:name w:val="Subtitle"/>
    <w:basedOn w:val="a"/>
    <w:next w:val="a"/>
    <w:link w:val="a6"/>
    <w:uiPriority w:val="11"/>
    <w:qFormat/>
    <w:rsid w:val="000D62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0D62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DF78B6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8934E9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934E9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934E9"/>
    <w:rPr>
      <w:vertAlign w:val="superscript"/>
    </w:rPr>
  </w:style>
  <w:style w:type="character" w:styleId="ac">
    <w:name w:val="Hyperlink"/>
    <w:basedOn w:val="a0"/>
    <w:uiPriority w:val="99"/>
    <w:unhideWhenUsed/>
    <w:rsid w:val="008934E9"/>
    <w:rPr>
      <w:color w:val="0000FF" w:themeColor="hyperlink"/>
      <w:u w:val="single"/>
    </w:rPr>
  </w:style>
  <w:style w:type="paragraph" w:customStyle="1" w:styleId="Default">
    <w:name w:val="Default"/>
    <w:rsid w:val="005F7D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tr-TR"/>
    </w:rPr>
  </w:style>
  <w:style w:type="character" w:customStyle="1" w:styleId="30">
    <w:name w:val="Заголовок 3 Знак"/>
    <w:basedOn w:val="a0"/>
    <w:link w:val="3"/>
    <w:uiPriority w:val="9"/>
    <w:rsid w:val="00331A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Title"/>
    <w:basedOn w:val="a"/>
    <w:next w:val="a"/>
    <w:link w:val="ae"/>
    <w:uiPriority w:val="10"/>
    <w:qFormat/>
    <w:rsid w:val="00B932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Заголовок Знак"/>
    <w:basedOn w:val="a0"/>
    <w:link w:val="ad"/>
    <w:uiPriority w:val="10"/>
    <w:rsid w:val="00B932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9558C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header"/>
    <w:basedOn w:val="a"/>
    <w:link w:val="af0"/>
    <w:uiPriority w:val="99"/>
    <w:unhideWhenUsed/>
    <w:rsid w:val="0088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856A9"/>
  </w:style>
  <w:style w:type="paragraph" w:styleId="af1">
    <w:name w:val="footer"/>
    <w:basedOn w:val="a"/>
    <w:link w:val="af2"/>
    <w:uiPriority w:val="99"/>
    <w:unhideWhenUsed/>
    <w:rsid w:val="00885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856A9"/>
  </w:style>
  <w:style w:type="character" w:styleId="HTML">
    <w:name w:val="HTML Cite"/>
    <w:basedOn w:val="a0"/>
    <w:uiPriority w:val="99"/>
    <w:semiHidden/>
    <w:unhideWhenUsed/>
    <w:rsid w:val="00C56A3E"/>
    <w:rPr>
      <w:i/>
      <w:iCs/>
    </w:rPr>
  </w:style>
  <w:style w:type="character" w:customStyle="1" w:styleId="a8">
    <w:name w:val="Абзац списка Знак"/>
    <w:link w:val="a7"/>
    <w:uiPriority w:val="34"/>
    <w:locked/>
    <w:rsid w:val="00815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66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5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400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59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468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hyperlink" Target="https://tradingeconomics.com/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http://apps.who.int/nha/database/Home/Index/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fontTable" Target="fontTable.xml"/><Relationship Id="rId10" Type="http://schemas.openxmlformats.org/officeDocument/2006/relationships/chart" Target="charts/chart2.xml"/><Relationship Id="rId19" Type="http://schemas.openxmlformats.org/officeDocument/2006/relationships/hyperlink" Target="https://stats.oecd.org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yperlink" Target="http://stat.gov.kz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zhunussova_a\Desktop\1.&#1040;&#1085;&#1072;&#1083;&#1080;&#1090;&#1080;&#1082;&#1072;%202017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Текущие расходы на здравоохранение</c:v>
                </c:pt>
              </c:strCache>
            </c:strRef>
          </c:tx>
          <c:marker>
            <c:symbol val="diamond"/>
            <c:size val="10"/>
          </c:marker>
          <c:dLbls>
            <c:dLbl>
              <c:idx val="6"/>
              <c:layout>
                <c:manualLayout>
                  <c:x val="-4.4305555555555556E-2"/>
                  <c:y val="-4.9287798696619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070-4009-91D8-9D87F001BB43}"/>
                </c:ext>
              </c:extLst>
            </c:dLbl>
            <c:dLbl>
              <c:idx val="7"/>
              <c:layout>
                <c:manualLayout>
                  <c:x val="-5.8194444444444444E-2"/>
                  <c:y val="-5.72393723888404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070-4009-91D8-9D87F001BB43}"/>
                </c:ext>
              </c:extLst>
            </c:dLbl>
            <c:spPr>
              <a:noFill/>
              <a:ln>
                <a:noFill/>
              </a:ln>
              <a:effectLst/>
            </c:sp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_-* #,##0.0_р_._-;\-* #,##0.0_р_._-;_-* "-"??_р_._-;_-@_-</c:formatCode>
                <c:ptCount val="8"/>
                <c:pt idx="0">
                  <c:v>594.91410366741297</c:v>
                </c:pt>
                <c:pt idx="1">
                  <c:v>760.18596497742544</c:v>
                </c:pt>
                <c:pt idx="2">
                  <c:v>938.641111162078</c:v>
                </c:pt>
                <c:pt idx="3">
                  <c:v>959.86126365799998</c:v>
                </c:pt>
                <c:pt idx="4">
                  <c:v>1073.6116224910002</c:v>
                </c:pt>
                <c:pt idx="5">
                  <c:v>1244.4249468148098</c:v>
                </c:pt>
                <c:pt idx="6">
                  <c:v>1612.3256892729337</c:v>
                </c:pt>
                <c:pt idx="7">
                  <c:v>1656.08728525425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070-4009-91D8-9D87F001BB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1904352"/>
        <c:axId val="281905136"/>
      </c:line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Доля ОРЗ от ВВП</c:v>
                </c:pt>
              </c:strCache>
            </c:strRef>
          </c:tx>
          <c:dLbls>
            <c:dLbl>
              <c:idx val="6"/>
              <c:layout>
                <c:manualLayout>
                  <c:x val="-4.4890091863517063E-2"/>
                  <c:y val="4.7299670492245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070-4009-91D8-9D87F001BB43}"/>
                </c:ext>
              </c:extLst>
            </c:dLbl>
            <c:dLbl>
              <c:idx val="7"/>
              <c:layout>
                <c:manualLayout>
                  <c:x val="-6.1093795567220763E-2"/>
                  <c:y val="7.5129395810624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070-4009-91D8-9D87F001BB43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0.0%</c:formatCode>
                <c:ptCount val="8"/>
                <c:pt idx="0">
                  <c:v>2.7270227135456519E-2</c:v>
                </c:pt>
                <c:pt idx="1">
                  <c:v>2.6915856903011959E-2</c:v>
                </c:pt>
                <c:pt idx="2">
                  <c:v>3.0263919520061123E-2</c:v>
                </c:pt>
                <c:pt idx="3">
                  <c:v>2.6663534942728214E-2</c:v>
                </c:pt>
                <c:pt idx="4">
                  <c:v>2.7059586252340524E-2</c:v>
                </c:pt>
                <c:pt idx="5">
                  <c:v>3.0437845619768981E-2</c:v>
                </c:pt>
                <c:pt idx="6">
                  <c:v>3.43258721422178E-2</c:v>
                </c:pt>
                <c:pt idx="7">
                  <c:v>3.1187331625848816E-2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2070-4009-91D8-9D87F001BB4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1899648"/>
        <c:axId val="281900824"/>
      </c:lineChart>
      <c:catAx>
        <c:axId val="281904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81905136"/>
        <c:crosses val="autoZero"/>
        <c:auto val="1"/>
        <c:lblAlgn val="ctr"/>
        <c:lblOffset val="100"/>
        <c:noMultiLvlLbl val="0"/>
      </c:catAx>
      <c:valAx>
        <c:axId val="281905136"/>
        <c:scaling>
          <c:orientation val="minMax"/>
        </c:scaling>
        <c:delete val="0"/>
        <c:axPos val="l"/>
        <c:majorGridlines/>
        <c:numFmt formatCode="_-* #,##0.0_р_._-;\-* #,##0.0_р_._-;_-* &quot;-&quot;??_р_._-;_-@_-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281904352"/>
        <c:crosses val="autoZero"/>
        <c:crossBetween val="between"/>
      </c:valAx>
      <c:valAx>
        <c:axId val="281900824"/>
        <c:scaling>
          <c:orientation val="minMax"/>
        </c:scaling>
        <c:delete val="0"/>
        <c:axPos val="r"/>
        <c:numFmt formatCode="0.0%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281899648"/>
        <c:crosses val="max"/>
        <c:crossBetween val="between"/>
      </c:valAx>
      <c:catAx>
        <c:axId val="2818996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81900824"/>
        <c:crosses val="autoZero"/>
        <c:auto val="1"/>
        <c:lblAlgn val="ctr"/>
        <c:lblOffset val="100"/>
        <c:noMultiLvlLbl val="0"/>
      </c:cat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588980511294356"/>
          <c:y val="0"/>
          <c:w val="0.79463326792888811"/>
          <c:h val="0.99599599599599598"/>
        </c:manualLayout>
      </c:layout>
      <c:bar3DChart>
        <c:barDir val="bar"/>
        <c:grouping val="stacked"/>
        <c:varyColors val="0"/>
        <c:ser>
          <c:idx val="0"/>
          <c:order val="0"/>
          <c:invertIfNegative val="0"/>
          <c:dLbls>
            <c:dLbl>
              <c:idx val="0"/>
              <c:layout>
                <c:manualLayout>
                  <c:x val="0.12363636363636364"/>
                  <c:y val="-1.3655960464738595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3B6-4846-B356-E3A0D5F2FDB2}"/>
                </c:ext>
              </c:extLst>
            </c:dLbl>
            <c:dLbl>
              <c:idx val="1"/>
              <c:layout>
                <c:manualLayout>
                  <c:x val="0.12363636363636364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3B6-4846-B356-E3A0D5F2FDB2}"/>
                </c:ext>
              </c:extLst>
            </c:dLbl>
            <c:dLbl>
              <c:idx val="2"/>
              <c:layout>
                <c:manualLayout>
                  <c:x val="0.1236363636363635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3B6-4846-B356-E3A0D5F2FDB2}"/>
                </c:ext>
              </c:extLst>
            </c:dLbl>
            <c:dLbl>
              <c:idx val="3"/>
              <c:layout>
                <c:manualLayout>
                  <c:x val="0.12363636363636368"/>
                  <c:y val="3.72439587806142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3B6-4846-B356-E3A0D5F2FDB2}"/>
                </c:ext>
              </c:extLst>
            </c:dLbl>
            <c:dLbl>
              <c:idx val="4"/>
              <c:layout>
                <c:manualLayout>
                  <c:x val="0.1236363636363635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3B6-4846-B356-E3A0D5F2FDB2}"/>
                </c:ext>
              </c:extLst>
            </c:dLbl>
            <c:dLbl>
              <c:idx val="5"/>
              <c:layout>
                <c:manualLayout>
                  <c:x val="0.12363636363636359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3B6-4846-B356-E3A0D5F2FDB2}"/>
                </c:ext>
              </c:extLst>
            </c:dLbl>
            <c:dLbl>
              <c:idx val="6"/>
              <c:layout>
                <c:manualLayout>
                  <c:x val="0.13575757575757566"/>
                  <c:y val="6.82798023236926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3B6-4846-B356-E3A0D5F2FDB2}"/>
                </c:ext>
              </c:extLst>
            </c:dLbl>
            <c:dLbl>
              <c:idx val="7"/>
              <c:layout>
                <c:manualLayout>
                  <c:x val="0.13090909090909164"/>
                  <c:y val="-6.82798023236926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3B6-4846-B356-E3A0D5F2FDB2}"/>
                </c:ext>
              </c:extLst>
            </c:dLbl>
            <c:dLbl>
              <c:idx val="8"/>
              <c:layout>
                <c:manualLayout>
                  <c:x val="0.13818181818181818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3B6-4846-B356-E3A0D5F2FDB2}"/>
                </c:ext>
              </c:extLst>
            </c:dLbl>
            <c:dLbl>
              <c:idx val="9"/>
              <c:layout>
                <c:manualLayout>
                  <c:x val="0.13818181818181813"/>
                  <c:y val="-3.72439587806162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3B6-4846-B356-E3A0D5F2FDB2}"/>
                </c:ext>
              </c:extLst>
            </c:dLbl>
            <c:dLbl>
              <c:idx val="10"/>
              <c:layout>
                <c:manualLayout>
                  <c:x val="0.16000000000000011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3B6-4846-B356-E3A0D5F2FDB2}"/>
                </c:ext>
              </c:extLst>
            </c:dLbl>
            <c:dLbl>
              <c:idx val="11"/>
              <c:layout>
                <c:manualLayout>
                  <c:x val="0.16727272727272718"/>
                  <c:y val="7.448791756123086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3B6-4846-B356-E3A0D5F2FDB2}"/>
                </c:ext>
              </c:extLst>
            </c:dLbl>
            <c:dLbl>
              <c:idx val="12"/>
              <c:layout>
                <c:manualLayout>
                  <c:x val="0.20043540673920632"/>
                  <c:y val="7.728358279539382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3B6-4846-B356-E3A0D5F2FDB2}"/>
                </c:ext>
              </c:extLst>
            </c:dLbl>
            <c:dLbl>
              <c:idx val="13"/>
              <c:layout>
                <c:manualLayout>
                  <c:x val="0.25917420516610185"/>
                  <c:y val="8.008008008008009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3B6-4846-B356-E3A0D5F2FDB2}"/>
                </c:ext>
              </c:extLst>
            </c:dLbl>
            <c:dLbl>
              <c:idx val="14"/>
              <c:layout>
                <c:manualLayout>
                  <c:x val="0.30174366553695381"/>
                  <c:y val="3.72435427553538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3B6-4846-B356-E3A0D5F2FDB2}"/>
                </c:ext>
              </c:extLst>
            </c:dLbl>
            <c:dLbl>
              <c:idx val="15"/>
              <c:layout>
                <c:manualLayout>
                  <c:x val="0.32647905970586705"/>
                  <c:y val="7.86989295531417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3B6-4846-B356-E3A0D5F2FDB2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'общие расходы'!$B$2:$B$17</c:f>
              <c:strCache>
                <c:ptCount val="16"/>
                <c:pt idx="0">
                  <c:v>СКО</c:v>
                </c:pt>
                <c:pt idx="1">
                  <c:v>Мангыстауская</c:v>
                </c:pt>
                <c:pt idx="2">
                  <c:v>Акмолинская</c:v>
                </c:pt>
                <c:pt idx="3">
                  <c:v>ЗКО</c:v>
                </c:pt>
                <c:pt idx="4">
                  <c:v>Атырауская</c:v>
                </c:pt>
                <c:pt idx="5">
                  <c:v>Актюбинская</c:v>
                </c:pt>
                <c:pt idx="6">
                  <c:v>Кызылординская</c:v>
                </c:pt>
                <c:pt idx="7">
                  <c:v>Костанайская</c:v>
                </c:pt>
                <c:pt idx="8">
                  <c:v>Павлодарская</c:v>
                </c:pt>
                <c:pt idx="9">
                  <c:v>Жамбылская</c:v>
                </c:pt>
                <c:pt idx="10">
                  <c:v>Алматинская</c:v>
                </c:pt>
                <c:pt idx="11">
                  <c:v>Карагандинская</c:v>
                </c:pt>
                <c:pt idx="12">
                  <c:v>ВКО</c:v>
                </c:pt>
                <c:pt idx="13">
                  <c:v>ЮКО</c:v>
                </c:pt>
                <c:pt idx="14">
                  <c:v>г.Астана</c:v>
                </c:pt>
                <c:pt idx="15">
                  <c:v>г.Алматы</c:v>
                </c:pt>
              </c:strCache>
            </c:strRef>
          </c:cat>
          <c:val>
            <c:numRef>
              <c:f>'общие расходы'!$C$2:$C$17</c:f>
              <c:numCache>
                <c:formatCode>_-* #,##0_р_._-;\-* #,##0_р_._-;_-* "-"??_р_._-;_-@_-</c:formatCode>
                <c:ptCount val="16"/>
                <c:pt idx="0">
                  <c:v>14166080.806299983</c:v>
                </c:pt>
                <c:pt idx="1">
                  <c:v>14510730.281200001</c:v>
                </c:pt>
                <c:pt idx="2">
                  <c:v>17749214.645400003</c:v>
                </c:pt>
                <c:pt idx="3">
                  <c:v>18338485.201199997</c:v>
                </c:pt>
                <c:pt idx="4">
                  <c:v>18930937.212700009</c:v>
                </c:pt>
                <c:pt idx="5">
                  <c:v>20073938.079700001</c:v>
                </c:pt>
                <c:pt idx="6">
                  <c:v>20513995.586999997</c:v>
                </c:pt>
                <c:pt idx="7">
                  <c:v>22058948.348200001</c:v>
                </c:pt>
                <c:pt idx="8">
                  <c:v>22946452.394300021</c:v>
                </c:pt>
                <c:pt idx="9">
                  <c:v>24188226.822799999</c:v>
                </c:pt>
                <c:pt idx="10">
                  <c:v>29841924.835300021</c:v>
                </c:pt>
                <c:pt idx="11">
                  <c:v>38100626.609200098</c:v>
                </c:pt>
                <c:pt idx="12">
                  <c:v>40274519.231500097</c:v>
                </c:pt>
                <c:pt idx="13">
                  <c:v>57911760.917399995</c:v>
                </c:pt>
                <c:pt idx="14">
                  <c:v>67633032.401300192</c:v>
                </c:pt>
                <c:pt idx="15">
                  <c:v>114027659.27519991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23B6-4846-B356-E3A0D5F2FD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6"/>
        <c:shape val="box"/>
        <c:axId val="276235240"/>
        <c:axId val="276235632"/>
        <c:axId val="0"/>
      </c:bar3DChart>
      <c:catAx>
        <c:axId val="276235240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276235632"/>
        <c:crosses val="autoZero"/>
        <c:auto val="1"/>
        <c:lblAlgn val="ctr"/>
        <c:lblOffset val="100"/>
        <c:noMultiLvlLbl val="0"/>
      </c:catAx>
      <c:valAx>
        <c:axId val="276235632"/>
        <c:scaling>
          <c:orientation val="minMax"/>
        </c:scaling>
        <c:delete val="1"/>
        <c:axPos val="b"/>
        <c:numFmt formatCode="_-* #,##0_р_._-;\-* #,##0_р_._-;_-* &quot;-&quot;??_р_._-;_-@_-" sourceLinked="1"/>
        <c:majorTickMark val="out"/>
        <c:minorTickMark val="none"/>
        <c:tickLblPos val="none"/>
        <c:crossAx val="276235240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812732467201122"/>
          <c:y val="0.1098039653276924"/>
          <c:w val="0.29421325054716363"/>
          <c:h val="0.8212749899681371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effectLst>
              <a:outerShdw sx="1000" sy="1000" algn="ctr" rotWithShape="0">
                <a:srgbClr val="000000"/>
              </a:out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Lbls>
            <c:dLbl>
              <c:idx val="0"/>
              <c:layout>
                <c:manualLayout>
                  <c:x val="-0.12268518518518522"/>
                  <c:y val="-7.12963110240751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477-45BF-99D0-0008D596887C}"/>
                </c:ext>
              </c:extLst>
            </c:dLbl>
            <c:dLbl>
              <c:idx val="1"/>
              <c:layout>
                <c:manualLayout>
                  <c:x val="0.1111111111111111"/>
                  <c:y val="4.753087401605009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477-45BF-99D0-0008D596887C}"/>
                </c:ext>
              </c:extLst>
            </c:dLbl>
            <c:dLbl>
              <c:idx val="2"/>
              <c:layout>
                <c:manualLayout>
                  <c:x val="-3.2407407407407419E-2"/>
                  <c:y val="3.9609061680041758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477-45BF-99D0-0008D596887C}"/>
                </c:ext>
              </c:extLst>
            </c:dLbl>
            <c:dLbl>
              <c:idx val="3"/>
              <c:layout>
                <c:manualLayout>
                  <c:x val="2.0833333333333395E-2"/>
                  <c:y val="-1.188271850401252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477-45BF-99D0-0008D596887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Государственные расходы</c:v>
                </c:pt>
                <c:pt idx="1">
                  <c:v>Прямые платежи населения</c:v>
                </c:pt>
                <c:pt idx="2">
                  <c:v>Взносы предприятий + ДМС</c:v>
                </c:pt>
                <c:pt idx="3">
                  <c:v>Иностранные доноры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 formatCode="0%">
                  <c:v>0.61799999999999999</c:v>
                </c:pt>
                <c:pt idx="1">
                  <c:v>0.33200000000000002</c:v>
                </c:pt>
                <c:pt idx="2">
                  <c:v>4.5999999999999999E-2</c:v>
                </c:pt>
                <c:pt idx="3">
                  <c:v>3.0000000000000001E-3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477-45BF-99D0-0008D596887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0477515120185601"/>
          <c:y val="6.2989017318618917E-2"/>
          <c:w val="0.47194432196271324"/>
          <c:h val="0.8157405906441918"/>
        </c:manualLayout>
      </c:layout>
      <c:overlay val="0"/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899569845435984E-2"/>
          <c:y val="4.9008831075196192E-2"/>
          <c:w val="0.850200860309128"/>
          <c:h val="0.5772637079475704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Текущие расходы на душу населения, в долл. США</c:v>
                </c:pt>
              </c:strCache>
            </c:strRef>
          </c:tx>
          <c:dLbls>
            <c:dLbl>
              <c:idx val="3"/>
              <c:layout>
                <c:manualLayout>
                  <c:x val="-4.2534813356663669E-2"/>
                  <c:y val="-0.1314199690649555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675-4122-BD74-B826115B252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367.7</c:v>
                </c:pt>
                <c:pt idx="1">
                  <c:v>344</c:v>
                </c:pt>
                <c:pt idx="2">
                  <c:v>317.60000000000002</c:v>
                </c:pt>
                <c:pt idx="3">
                  <c:v>263</c:v>
                </c:pt>
                <c:pt idx="4">
                  <c:v>279.8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675-4122-BD74-B826115B2529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81902000"/>
        <c:axId val="281901608"/>
      </c:line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Заработная плата медицинских работников в реальном выражении, в тыс. тенге</c:v>
                </c:pt>
              </c:strCache>
            </c:strRef>
          </c:tx>
          <c:dLbls>
            <c:dLbl>
              <c:idx val="3"/>
              <c:layout>
                <c:manualLayout>
                  <c:x val="-4.4704906678331963E-2"/>
                  <c:y val="0.1216981280125975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675-4122-BD74-B826115B252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117.1</c:v>
                </c:pt>
                <c:pt idx="1">
                  <c:v>118.4</c:v>
                </c:pt>
                <c:pt idx="2">
                  <c:v>102</c:v>
                </c:pt>
                <c:pt idx="3">
                  <c:v>108.7</c:v>
                </c:pt>
                <c:pt idx="4">
                  <c:v>95.4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3675-4122-BD74-B826115B2529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81902392"/>
        <c:axId val="281906312"/>
      </c:lineChart>
      <c:catAx>
        <c:axId val="2819020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81901608"/>
        <c:crosses val="autoZero"/>
        <c:auto val="1"/>
        <c:lblAlgn val="ctr"/>
        <c:lblOffset val="100"/>
        <c:noMultiLvlLbl val="0"/>
      </c:catAx>
      <c:valAx>
        <c:axId val="2819016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81902000"/>
        <c:crosses val="autoZero"/>
        <c:crossBetween val="between"/>
      </c:valAx>
      <c:valAx>
        <c:axId val="281906312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281902392"/>
        <c:crosses val="max"/>
        <c:crossBetween val="between"/>
      </c:valAx>
      <c:catAx>
        <c:axId val="28190239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81906312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5.8697871099445902E-2"/>
          <c:y val="0.71998744444742158"/>
          <c:w val="0.8895487022455526"/>
          <c:h val="0.25574381774280935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>
        <c:manualLayout>
          <c:layoutTarget val="inner"/>
          <c:xMode val="edge"/>
          <c:yMode val="edge"/>
          <c:x val="8.7389138537389249E-2"/>
          <c:y val="2.3976966074737517E-2"/>
          <c:w val="0.83575496571860142"/>
          <c:h val="0.7119632920429045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Номинальные расходы</c:v>
                </c:pt>
              </c:strCache>
            </c:strRef>
          </c:tx>
          <c:marker>
            <c:symbol val="diamond"/>
            <c:size val="11"/>
          </c:marker>
          <c:dLbls>
            <c:dLbl>
              <c:idx val="1"/>
              <c:layout>
                <c:manualLayout>
                  <c:x val="-4.2222717119691951E-2"/>
                  <c:y val="-7.0557267372288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390-401C-8FB3-E3488C282D21}"/>
                </c:ext>
              </c:extLst>
            </c:dLbl>
            <c:dLbl>
              <c:idx val="6"/>
              <c:layout>
                <c:manualLayout>
                  <c:x val="-4.7072572971347884E-2"/>
                  <c:y val="-9.2354621070344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390-401C-8FB3-E3488C282D21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_-* #,##0_р_._-;\-* #,##0_р_._-;_-* "-"??_р_._-;_-@_-</c:formatCode>
                <c:ptCount val="8"/>
                <c:pt idx="0">
                  <c:v>402.27714430000003</c:v>
                </c:pt>
                <c:pt idx="1">
                  <c:v>520.36083669204822</c:v>
                </c:pt>
                <c:pt idx="2">
                  <c:v>641.97993875607801</c:v>
                </c:pt>
                <c:pt idx="3">
                  <c:v>664.90045756400002</c:v>
                </c:pt>
                <c:pt idx="4">
                  <c:v>738.09227539300002</c:v>
                </c:pt>
                <c:pt idx="5">
                  <c:v>783.00003735481005</c:v>
                </c:pt>
                <c:pt idx="6">
                  <c:v>947.78145759027018</c:v>
                </c:pt>
                <c:pt idx="7">
                  <c:v>1023.8727555483702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390-401C-8FB3-E3488C282D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Реальные расходы </c:v>
                </c:pt>
              </c:strCache>
            </c:strRef>
          </c:tx>
          <c:marker>
            <c:symbol val="circle"/>
            <c:size val="9"/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390-401C-8FB3-E3488C282D21}"/>
                </c:ext>
              </c:extLst>
            </c:dLbl>
            <c:dLbl>
              <c:idx val="1"/>
              <c:layout>
                <c:manualLayout>
                  <c:x val="-9.9550238533214677E-3"/>
                  <c:y val="2.613011155711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390-401C-8FB3-E3488C282D21}"/>
                </c:ext>
              </c:extLst>
            </c:dLbl>
            <c:dLbl>
              <c:idx val="3"/>
              <c:layout>
                <c:manualLayout>
                  <c:x val="-7.6796103058675387E-3"/>
                  <c:y val="-2.98478865787128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390-401C-8FB3-E3488C282D21}"/>
                </c:ext>
              </c:extLst>
            </c:dLbl>
            <c:dLbl>
              <c:idx val="4"/>
              <c:layout>
                <c:manualLayout>
                  <c:x val="-4.1810813517676466E-2"/>
                  <c:y val="-4.4236920284494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390-401C-8FB3-E3488C282D21}"/>
                </c:ext>
              </c:extLst>
            </c:dLbl>
            <c:spPr>
              <a:noFill/>
              <a:ln>
                <a:noFill/>
              </a:ln>
              <a:effectLst/>
            </c:sp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0</c:formatCode>
                <c:ptCount val="8"/>
                <c:pt idx="0">
                  <c:v>402.27714430000003</c:v>
                </c:pt>
                <c:pt idx="1">
                  <c:v>484.50729673375065</c:v>
                </c:pt>
                <c:pt idx="2">
                  <c:v>563.91196616077957</c:v>
                </c:pt>
                <c:pt idx="3">
                  <c:v>557.29507175816582</c:v>
                </c:pt>
                <c:pt idx="4">
                  <c:v>590.87082848501643</c:v>
                </c:pt>
                <c:pt idx="5">
                  <c:v>562.87822667917703</c:v>
                </c:pt>
                <c:pt idx="6">
                  <c:v>627.95877921578597</c:v>
                </c:pt>
                <c:pt idx="7">
                  <c:v>633.40202090391858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4390-401C-8FB3-E3488C282D21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81903568"/>
        <c:axId val="281902784"/>
      </c:line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Доля гос. расходов от ВВП</c:v>
                </c:pt>
              </c:strCache>
            </c:strRef>
          </c:tx>
          <c:marker>
            <c:symbol val="square"/>
            <c:size val="10"/>
          </c:marker>
          <c:dLbls>
            <c:dLbl>
              <c:idx val="0"/>
              <c:layout>
                <c:manualLayout>
                  <c:x val="-4.5314950380755517E-2"/>
                  <c:y val="8.8848175000323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390-401C-8FB3-E3488C282D21}"/>
                </c:ext>
              </c:extLst>
            </c:dLbl>
            <c:dLbl>
              <c:idx val="1"/>
              <c:layout>
                <c:manualLayout>
                  <c:x val="-4.872807070193641E-2"/>
                  <c:y val="8.11825013313078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390-401C-8FB3-E3488C282D21}"/>
                </c:ext>
              </c:extLst>
            </c:dLbl>
            <c:dLbl>
              <c:idx val="3"/>
              <c:layout>
                <c:manualLayout>
                  <c:x val="-3.5075589417212838E-2"/>
                  <c:y val="7.25230345226349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390-401C-8FB3-E3488C282D21}"/>
                </c:ext>
              </c:extLst>
            </c:dLbl>
            <c:dLbl>
              <c:idx val="4"/>
              <c:layout>
                <c:manualLayout>
                  <c:x val="-4.3039536833301591E-2"/>
                  <c:y val="5.7368626683567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390-401C-8FB3-E3488C282D21}"/>
                </c:ext>
              </c:extLst>
            </c:dLbl>
            <c:dLbl>
              <c:idx val="5"/>
              <c:layout>
                <c:manualLayout>
                  <c:x val="-4.8728070701936493E-2"/>
                  <c:y val="-4.87095007987847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390-401C-8FB3-E3488C282D21}"/>
                </c:ext>
              </c:extLst>
            </c:dLbl>
            <c:dLbl>
              <c:idx val="6"/>
              <c:layout>
                <c:manualLayout>
                  <c:x val="-2.9396730535315226E-2"/>
                  <c:y val="7.4888678207062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390-401C-8FB3-E3488C282D21}"/>
                </c:ext>
              </c:extLst>
            </c:dLbl>
            <c:dLbl>
              <c:idx val="7"/>
              <c:layout>
                <c:manualLayout>
                  <c:x val="-3.2800175869758912E-2"/>
                  <c:y val="-6.60284344161303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4390-401C-8FB3-E3488C282D21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Лист1!$D$2:$D$9</c:f>
              <c:numCache>
                <c:formatCode>0.0%</c:formatCode>
                <c:ptCount val="8"/>
                <c:pt idx="0">
                  <c:v>1.843995465704526E-2</c:v>
                </c:pt>
                <c:pt idx="1">
                  <c:v>1.8424383589811036E-2</c:v>
                </c:pt>
                <c:pt idx="2">
                  <c:v>2.0698890096507692E-2</c:v>
                </c:pt>
                <c:pt idx="3">
                  <c:v>1.8469957331261173E-2</c:v>
                </c:pt>
                <c:pt idx="4">
                  <c:v>1.8603069461788156E-2</c:v>
                </c:pt>
                <c:pt idx="5">
                  <c:v>1.915168473460839E-2</c:v>
                </c:pt>
                <c:pt idx="6">
                  <c:v>2.0177948753442702E-2</c:v>
                </c:pt>
                <c:pt idx="7">
                  <c:v>1.9281507354259386E-2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4390-401C-8FB3-E3488C282D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1904744"/>
        <c:axId val="281905920"/>
      </c:lineChart>
      <c:catAx>
        <c:axId val="281903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81902784"/>
        <c:crosses val="autoZero"/>
        <c:auto val="1"/>
        <c:lblAlgn val="ctr"/>
        <c:lblOffset val="100"/>
        <c:noMultiLvlLbl val="0"/>
      </c:catAx>
      <c:valAx>
        <c:axId val="281902784"/>
        <c:scaling>
          <c:orientation val="minMax"/>
        </c:scaling>
        <c:delete val="0"/>
        <c:axPos val="l"/>
        <c:majorGridlines/>
        <c:numFmt formatCode="_-* #,##0_р_._-;\-* #,##0_р_._-;_-* &quot;-&quot;??_р_._-;_-@_-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281903568"/>
        <c:crosses val="autoZero"/>
        <c:crossBetween val="between"/>
      </c:valAx>
      <c:valAx>
        <c:axId val="281905920"/>
        <c:scaling>
          <c:orientation val="minMax"/>
        </c:scaling>
        <c:delete val="0"/>
        <c:axPos val="r"/>
        <c:numFmt formatCode="0.0%" sourceLinked="1"/>
        <c:majorTickMark val="out"/>
        <c:minorTickMark val="none"/>
        <c:tickLblPos val="nextTo"/>
        <c:txPr>
          <a:bodyPr/>
          <a:lstStyle/>
          <a:p>
            <a:pPr>
              <a:defRPr sz="1050"/>
            </a:pPr>
            <a:endParaRPr lang="ru-RU"/>
          </a:p>
        </c:txPr>
        <c:crossAx val="281904744"/>
        <c:crosses val="max"/>
        <c:crossBetween val="between"/>
      </c:valAx>
      <c:catAx>
        <c:axId val="2819047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81905920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2.7476066501558843E-2"/>
          <c:y val="0.83280581043404389"/>
          <c:w val="0.93834616104776636"/>
          <c:h val="0.14122632809024008"/>
        </c:manualLayout>
      </c:layout>
      <c:overlay val="0"/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1-68B7-41BE-BF9C-4FC9D10F16F5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68B7-41BE-BF9C-4FC9D10F16F5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68B7-41BE-BF9C-4FC9D10F16F5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68B7-41BE-BF9C-4FC9D10F16F5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68B7-41BE-BF9C-4FC9D10F16F5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68B7-41BE-BF9C-4FC9D10F16F5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68B7-41BE-BF9C-4FC9D10F16F5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68B7-41BE-BF9C-4FC9D10F16F5}"/>
              </c:ext>
            </c:extLst>
          </c:dPt>
          <c:dLbls>
            <c:dLbl>
              <c:idx val="0"/>
              <c:layout>
                <c:manualLayout>
                  <c:x val="9.889888341526331E-3"/>
                  <c:y val="-6.6689936754674717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8B7-41BE-BF9C-4FC9D10F16F5}"/>
                </c:ext>
              </c:extLst>
            </c:dLbl>
            <c:dLbl>
              <c:idx val="1"/>
              <c:layout>
                <c:manualLayout>
                  <c:x val="1.7959275619778631E-2"/>
                  <c:y val="-5.0623033020426207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8B7-41BE-BF9C-4FC9D10F16F5}"/>
                </c:ext>
              </c:extLst>
            </c:dLbl>
            <c:dLbl>
              <c:idx val="2"/>
              <c:layout>
                <c:manualLayout>
                  <c:x val="-2.6491499383890098E-2"/>
                  <c:y val="-6.8675929790820184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8B7-41BE-BF9C-4FC9D10F16F5}"/>
                </c:ext>
              </c:extLst>
            </c:dLbl>
            <c:dLbl>
              <c:idx val="4"/>
              <c:layout>
                <c:manualLayout>
                  <c:x val="-3.6444508768047459E-2"/>
                  <c:y val="-7.5328743727180111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8B7-41BE-BF9C-4FC9D10F16F5}"/>
                </c:ext>
              </c:extLst>
            </c:dLbl>
            <c:dLbl>
              <c:idx val="5"/>
              <c:layout>
                <c:manualLayout>
                  <c:x val="-4.8521924879067177E-4"/>
                  <c:y val="-5.2205132540433151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68B7-41BE-BF9C-4FC9D10F16F5}"/>
                </c:ext>
              </c:extLst>
            </c:dLbl>
            <c:dLbl>
              <c:idx val="6"/>
              <c:layout>
                <c:manualLayout>
                  <c:x val="-6.3399316308702741E-2"/>
                  <c:y val="4.8159093734259154E-3"/>
                </c:manualLayout>
              </c:layout>
              <c:spPr/>
              <c:txPr>
                <a:bodyPr rot="0" vert="horz"/>
                <a:lstStyle/>
                <a:p>
                  <a:pPr>
                    <a:defRPr sz="1100"/>
                  </a:pPr>
                  <a:endParaRPr lang="ru-RU"/>
                </a:p>
              </c:txPr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68B7-41BE-BF9C-4FC9D10F16F5}"/>
                </c:ext>
              </c:extLst>
            </c:dLbl>
            <c:dLbl>
              <c:idx val="7"/>
              <c:layout>
                <c:manualLayout>
                  <c:x val="0.24531635765906934"/>
                  <c:y val="0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68B7-41BE-BF9C-4FC9D10F16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Лист1!$A$2:$A$9</c:f>
              <c:strCache>
                <c:ptCount val="8"/>
                <c:pt idx="0">
                  <c:v>Стационарная помощь</c:v>
                </c:pt>
                <c:pt idx="1">
                  <c:v>Дневной стационар</c:v>
                </c:pt>
                <c:pt idx="2">
                  <c:v> АПП</c:v>
                </c:pt>
                <c:pt idx="3">
                  <c:v>Реабилитация</c:v>
                </c:pt>
                <c:pt idx="4">
                  <c:v>Общественное здравоохранение</c:v>
                </c:pt>
                <c:pt idx="5">
                  <c:v>АЛО</c:v>
                </c:pt>
                <c:pt idx="6">
                  <c:v>Профилактические услуги</c:v>
                </c:pt>
                <c:pt idx="7">
                  <c:v>Прочие услуги</c:v>
                </c:pt>
              </c:strCache>
            </c:strRef>
          </c:cat>
          <c:val>
            <c:numRef>
              <c:f>Лист1!$B$2:$B$9</c:f>
              <c:numCache>
                <c:formatCode>0.0%</c:formatCode>
                <c:ptCount val="8"/>
                <c:pt idx="0">
                  <c:v>0.42299999999999999</c:v>
                </c:pt>
                <c:pt idx="1">
                  <c:v>3.6999999999999998E-2</c:v>
                </c:pt>
                <c:pt idx="2">
                  <c:v>0.28197135370070758</c:v>
                </c:pt>
                <c:pt idx="3" formatCode="0.00%">
                  <c:v>4.9849499476237614E-4</c:v>
                </c:pt>
                <c:pt idx="4">
                  <c:v>0.04</c:v>
                </c:pt>
                <c:pt idx="5">
                  <c:v>0.1</c:v>
                </c:pt>
                <c:pt idx="6">
                  <c:v>0.05</c:v>
                </c:pt>
                <c:pt idx="7">
                  <c:v>6.7500000000000004E-2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1F5-43DA-930D-CFCE98C9DA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105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5"/>
    </mc:Choice>
    <mc:Fallback>
      <c:style val="35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Стационар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Лист1!$B$2:$B$10</c:f>
              <c:numCache>
                <c:formatCode>0%</c:formatCode>
                <c:ptCount val="9"/>
                <c:pt idx="0">
                  <c:v>0.254</c:v>
                </c:pt>
                <c:pt idx="1">
                  <c:v>0.42299999999999999</c:v>
                </c:pt>
                <c:pt idx="2">
                  <c:v>0.50700000000000001</c:v>
                </c:pt>
                <c:pt idx="3">
                  <c:v>0.47799999999999998</c:v>
                </c:pt>
                <c:pt idx="4">
                  <c:v>0.48699999999999999</c:v>
                </c:pt>
                <c:pt idx="5">
                  <c:v>0.60699999999999998</c:v>
                </c:pt>
                <c:pt idx="6">
                  <c:v>0.56699999999999995</c:v>
                </c:pt>
                <c:pt idx="7">
                  <c:v>0.55700000000000005</c:v>
                </c:pt>
                <c:pt idx="8">
                  <c:v>0.53100000000000003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13-45BF-A110-AC2E970FA8A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АПП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Лист1!$C$2:$C$10</c:f>
              <c:numCache>
                <c:formatCode>0%</c:formatCode>
                <c:ptCount val="9"/>
                <c:pt idx="0">
                  <c:v>0.26700000000000002</c:v>
                </c:pt>
                <c:pt idx="1">
                  <c:v>0.28199999999999997</c:v>
                </c:pt>
                <c:pt idx="2">
                  <c:v>0.33800000000000002</c:v>
                </c:pt>
                <c:pt idx="3">
                  <c:v>0.34699999999999998</c:v>
                </c:pt>
                <c:pt idx="4">
                  <c:v>0.35799999999999998</c:v>
                </c:pt>
                <c:pt idx="5">
                  <c:v>0.249</c:v>
                </c:pt>
                <c:pt idx="6">
                  <c:v>0.26200000000000001</c:v>
                </c:pt>
                <c:pt idx="7">
                  <c:v>0.28199999999999997</c:v>
                </c:pt>
                <c:pt idx="8">
                  <c:v>0.30299999999999999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D13-45BF-A110-AC2E970FA8A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АЛО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bg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Лист1!$D$2:$D$10</c:f>
              <c:numCache>
                <c:formatCode>0%</c:formatCode>
                <c:ptCount val="9"/>
                <c:pt idx="0">
                  <c:v>0.19800000000000001</c:v>
                </c:pt>
                <c:pt idx="1">
                  <c:v>0.10299999999999999</c:v>
                </c:pt>
                <c:pt idx="2">
                  <c:v>7.4999999999999997E-2</c:v>
                </c:pt>
                <c:pt idx="3">
                  <c:v>8.5999999999999993E-2</c:v>
                </c:pt>
                <c:pt idx="4">
                  <c:v>7.9000000000000001E-2</c:v>
                </c:pt>
                <c:pt idx="5">
                  <c:v>7.5999999999999998E-2</c:v>
                </c:pt>
                <c:pt idx="6">
                  <c:v>7.5999999999999998E-2</c:v>
                </c:pt>
                <c:pt idx="7">
                  <c:v>7.1999999999999995E-2</c:v>
                </c:pt>
                <c:pt idx="8">
                  <c:v>0.08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D13-45BF-A110-AC2E970FA8AF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дневной стационар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Лист1!$E$2:$E$10</c:f>
              <c:numCache>
                <c:formatCode>0%</c:formatCode>
                <c:ptCount val="9"/>
                <c:pt idx="0">
                  <c:v>0.18</c:v>
                </c:pt>
                <c:pt idx="1">
                  <c:v>3.6999999999999998E-2</c:v>
                </c:pt>
                <c:pt idx="2">
                  <c:v>3.9E-2</c:v>
                </c:pt>
                <c:pt idx="3">
                  <c:v>3.6999999999999998E-2</c:v>
                </c:pt>
                <c:pt idx="4">
                  <c:v>3.3000000000000002E-2</c:v>
                </c:pt>
                <c:pt idx="5">
                  <c:v>2.7E-2</c:v>
                </c:pt>
                <c:pt idx="6">
                  <c:v>3.6999999999999998E-2</c:v>
                </c:pt>
                <c:pt idx="7">
                  <c:v>3.4000000000000002E-2</c:v>
                </c:pt>
                <c:pt idx="8">
                  <c:v>2.7E-2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D13-45BF-A110-AC2E970FA8AF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Профилактика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Лист1!$A$2:$A$10</c:f>
              <c:strCache>
                <c:ptCount val="9"/>
                <c:pt idx="0">
                  <c:v>ОЭСР</c:v>
                </c:pt>
                <c:pt idx="1">
                  <c:v>РК 2017</c:v>
                </c:pt>
                <c:pt idx="2">
                  <c:v>РК 2016</c:v>
                </c:pt>
                <c:pt idx="3">
                  <c:v>РК 2015</c:v>
                </c:pt>
                <c:pt idx="4">
                  <c:v>РК 2014</c:v>
                </c:pt>
                <c:pt idx="5">
                  <c:v>РК 2013</c:v>
                </c:pt>
                <c:pt idx="6">
                  <c:v>РК 2012</c:v>
                </c:pt>
                <c:pt idx="7">
                  <c:v>РК 2011</c:v>
                </c:pt>
                <c:pt idx="8">
                  <c:v>РК 2010</c:v>
                </c:pt>
              </c:strCache>
            </c:strRef>
          </c:cat>
          <c:val>
            <c:numRef>
              <c:f>Лист1!$F$2:$F$10</c:f>
              <c:numCache>
                <c:formatCode>0%</c:formatCode>
                <c:ptCount val="9"/>
                <c:pt idx="0">
                  <c:v>0.1</c:v>
                </c:pt>
                <c:pt idx="1">
                  <c:v>5.0999999999999997E-2</c:v>
                </c:pt>
                <c:pt idx="2">
                  <c:v>4.1000000000000002E-2</c:v>
                </c:pt>
                <c:pt idx="3">
                  <c:v>5.0999999999999997E-2</c:v>
                </c:pt>
                <c:pt idx="4">
                  <c:v>4.2000000000000003E-2</c:v>
                </c:pt>
                <c:pt idx="5">
                  <c:v>0.04</c:v>
                </c:pt>
                <c:pt idx="6">
                  <c:v>4.8000000000000001E-2</c:v>
                </c:pt>
                <c:pt idx="7">
                  <c:v>4.8000000000000001E-2</c:v>
                </c:pt>
                <c:pt idx="8">
                  <c:v>5.8000000000000003E-2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D13-45BF-A110-AC2E970FA8A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54"/>
        <c:shape val="box"/>
        <c:axId val="419150696"/>
        <c:axId val="419147560"/>
        <c:axId val="0"/>
      </c:bar3DChart>
      <c:catAx>
        <c:axId val="41915069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419147560"/>
        <c:crosses val="autoZero"/>
        <c:auto val="1"/>
        <c:lblAlgn val="ctr"/>
        <c:lblOffset val="100"/>
        <c:noMultiLvlLbl val="0"/>
      </c:catAx>
      <c:valAx>
        <c:axId val="419147560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419150696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27694432864609"/>
          <c:y val="3.9142365789344963E-2"/>
          <c:w val="0.89722907569299148"/>
          <c:h val="0.70770274566783997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Частные расходы в номинальном выражении</c:v>
                </c:pt>
              </c:strCache>
            </c:strRef>
          </c:tx>
          <c:marker>
            <c:symbol val="none"/>
          </c:marker>
          <c:dLbls>
            <c:dLbl>
              <c:idx val="6"/>
              <c:layout>
                <c:manualLayout>
                  <c:x val="-7.9932695932118103E-2"/>
                  <c:y val="-2.498371006352195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3B2-4489-B480-265465428306}"/>
                </c:ext>
              </c:extLst>
            </c:dLbl>
            <c:dLbl>
              <c:idx val="7"/>
              <c:layout>
                <c:manualLayout>
                  <c:x val="-4.4652057727597012E-2"/>
                  <c:y val="-1.87279103767797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3B2-4489-B480-265465428306}"/>
                </c:ext>
              </c:extLst>
            </c:dLbl>
            <c:spPr>
              <a:noFill/>
              <a:ln>
                <a:noFill/>
              </a:ln>
              <a:effectLst/>
            </c:sp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_-* #,##0.0_р_._-;\-* #,##0.0_р_._-;_-* "-"??_р_._-;_-@_-</c:formatCode>
                <c:ptCount val="8"/>
                <c:pt idx="0">
                  <c:v>187.19641336741296</c:v>
                </c:pt>
                <c:pt idx="1">
                  <c:v>235.433121032</c:v>
                </c:pt>
                <c:pt idx="2">
                  <c:v>294.050106406</c:v>
                </c:pt>
                <c:pt idx="3">
                  <c:v>292.23453000000001</c:v>
                </c:pt>
                <c:pt idx="4">
                  <c:v>332.25811432</c:v>
                </c:pt>
                <c:pt idx="5">
                  <c:v>456.79348039999996</c:v>
                </c:pt>
                <c:pt idx="6">
                  <c:v>645.61813605882355</c:v>
                </c:pt>
                <c:pt idx="7">
                  <c:v>626.87461370588233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D3B2-4489-B480-265465428306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19149912"/>
        <c:axId val="419151088"/>
      </c:line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Доля частных расходов от ВВП</c:v>
                </c:pt>
              </c:strCache>
            </c:strRef>
          </c:tx>
          <c:marker>
            <c:symbol val="none"/>
          </c:marker>
          <c:dLbls>
            <c:dLbl>
              <c:idx val="6"/>
              <c:layout>
                <c:manualLayout>
                  <c:x val="-3.9597134003746481E-2"/>
                  <c:y val="6.88776843550404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3B2-4489-B480-265465428306}"/>
                </c:ext>
              </c:extLst>
            </c:dLbl>
            <c:dLbl>
              <c:idx val="7"/>
              <c:layout>
                <c:manualLayout>
                  <c:x val="-3.5187401478557374E-2"/>
                  <c:y val="2.38257162310962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3B2-4489-B480-265465428306}"/>
                </c:ext>
              </c:extLst>
            </c:dLbl>
            <c:spPr>
              <a:noFill/>
              <a:ln>
                <a:noFill/>
              </a:ln>
              <a:effectLst/>
            </c:sp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0.0%</c:formatCode>
                <c:ptCount val="8"/>
                <c:pt idx="0">
                  <c:v>7.8152691957747329E-3</c:v>
                </c:pt>
                <c:pt idx="1">
                  <c:v>8.3359657860214258E-3</c:v>
                </c:pt>
                <c:pt idx="2">
                  <c:v>9.4808427172255044E-3</c:v>
                </c:pt>
                <c:pt idx="3">
                  <c:v>1.0048035717500584E-2</c:v>
                </c:pt>
                <c:pt idx="4">
                  <c:v>8.3743198242978781E-3</c:v>
                </c:pt>
                <c:pt idx="5">
                  <c:v>1.1172879055458326E-2</c:v>
                </c:pt>
                <c:pt idx="6">
                  <c:v>1.3744993171340281E-2</c:v>
                </c:pt>
                <c:pt idx="7">
                  <c:v>1.1805263309216055E-2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D3B2-4489-B480-2654654283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19148344"/>
        <c:axId val="419145992"/>
      </c:lineChart>
      <c:catAx>
        <c:axId val="419149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19151088"/>
        <c:crosses val="autoZero"/>
        <c:auto val="1"/>
        <c:lblAlgn val="ctr"/>
        <c:lblOffset val="100"/>
        <c:noMultiLvlLbl val="0"/>
      </c:catAx>
      <c:valAx>
        <c:axId val="419151088"/>
        <c:scaling>
          <c:orientation val="minMax"/>
        </c:scaling>
        <c:delete val="0"/>
        <c:axPos val="l"/>
        <c:majorGridlines/>
        <c:numFmt formatCode="_-* #,##0.0_р_._-;\-* #,##0.0_р_._-;_-* &quot;-&quot;??_р_._-;_-@_-" sourceLinked="1"/>
        <c:majorTickMark val="out"/>
        <c:minorTickMark val="none"/>
        <c:tickLblPos val="nextTo"/>
        <c:crossAx val="419149912"/>
        <c:crosses val="autoZero"/>
        <c:crossBetween val="between"/>
      </c:valAx>
      <c:valAx>
        <c:axId val="419145992"/>
        <c:scaling>
          <c:orientation val="minMax"/>
        </c:scaling>
        <c:delete val="0"/>
        <c:axPos val="r"/>
        <c:numFmt formatCode="0.0%" sourceLinked="1"/>
        <c:majorTickMark val="out"/>
        <c:minorTickMark val="none"/>
        <c:tickLblPos val="nextTo"/>
        <c:crossAx val="419148344"/>
        <c:crosses val="max"/>
        <c:crossBetween val="between"/>
      </c:valAx>
      <c:catAx>
        <c:axId val="41914834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419145992"/>
        <c:crosses val="autoZero"/>
        <c:auto val="1"/>
        <c:lblAlgn val="ctr"/>
        <c:lblOffset val="100"/>
        <c:noMultiLvlLbl val="0"/>
      </c:catAx>
    </c:plotArea>
    <c:legend>
      <c:legendPos val="b"/>
      <c:layout>
        <c:manualLayout>
          <c:xMode val="edge"/>
          <c:yMode val="edge"/>
          <c:x val="0.12926824609988802"/>
          <c:y val="0.83804511067132648"/>
          <c:w val="0.7723449287692401"/>
          <c:h val="0.1592790652726061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1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>
        <c:manualLayout>
          <c:layoutTarget val="inner"/>
          <c:xMode val="edge"/>
          <c:yMode val="edge"/>
          <c:x val="0"/>
          <c:y val="2.2123373211988134E-2"/>
          <c:w val="1"/>
          <c:h val="0.61909573802456941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Стационарная помощь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20.6</c:v>
                </c:pt>
                <c:pt idx="1">
                  <c:v>35.799999999999997</c:v>
                </c:pt>
                <c:pt idx="2">
                  <c:v>40.799999999999997</c:v>
                </c:pt>
                <c:pt idx="3">
                  <c:v>32.6</c:v>
                </c:pt>
                <c:pt idx="4">
                  <c:v>37.799999999999997</c:v>
                </c:pt>
                <c:pt idx="5">
                  <c:v>45.9</c:v>
                </c:pt>
                <c:pt idx="6">
                  <c:v>58.4</c:v>
                </c:pt>
                <c:pt idx="7">
                  <c:v>65.900000000000006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7A-4402-A9EE-FC3924D17DC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Амбулаторно-поликлиническая помощь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82550" h="25400" prst="angle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25.5</c:v>
                </c:pt>
                <c:pt idx="1">
                  <c:v>63.1</c:v>
                </c:pt>
                <c:pt idx="2">
                  <c:v>86.9</c:v>
                </c:pt>
                <c:pt idx="3">
                  <c:v>81.5</c:v>
                </c:pt>
                <c:pt idx="4">
                  <c:v>90.4</c:v>
                </c:pt>
                <c:pt idx="5">
                  <c:v>121</c:v>
                </c:pt>
                <c:pt idx="6">
                  <c:v>146.69999999999999</c:v>
                </c:pt>
                <c:pt idx="7">
                  <c:v>192.9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D7A-4402-A9EE-FC3924D17DC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Реабилитационные услуги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Лист1!$D$2:$D$9</c:f>
              <c:numCache>
                <c:formatCode>General</c:formatCode>
                <c:ptCount val="8"/>
                <c:pt idx="3">
                  <c:v>9.1999999999999993</c:v>
                </c:pt>
                <c:pt idx="4">
                  <c:v>10.199999999999999</c:v>
                </c:pt>
                <c:pt idx="5">
                  <c:v>9.3000000000000007</c:v>
                </c:pt>
                <c:pt idx="6">
                  <c:v>11.3</c:v>
                </c:pt>
                <c:pt idx="7">
                  <c:v>12.5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D7A-4402-A9EE-FC3924D17DCD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Лекарственные средства и изделия медицинского назначения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bg1"/>
                    </a:solidFill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Лист1!$E$2:$E$9</c:f>
              <c:numCache>
                <c:formatCode>General</c:formatCode>
                <c:ptCount val="8"/>
                <c:pt idx="0">
                  <c:v>108.7</c:v>
                </c:pt>
                <c:pt idx="1">
                  <c:v>113.30000000000001</c:v>
                </c:pt>
                <c:pt idx="2">
                  <c:v>150.80000000000001</c:v>
                </c:pt>
                <c:pt idx="3">
                  <c:v>145.19999999999999</c:v>
                </c:pt>
                <c:pt idx="4">
                  <c:v>174</c:v>
                </c:pt>
                <c:pt idx="5">
                  <c:v>260.20000000000005</c:v>
                </c:pt>
                <c:pt idx="6">
                  <c:v>404.3</c:v>
                </c:pt>
                <c:pt idx="7" formatCode="0.0">
                  <c:v>350.1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D7A-4402-A9EE-FC3924D17DCD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Прочие услуги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  <c:pt idx="7">
                  <c:v>2017</c:v>
                </c:pt>
              </c:numCache>
            </c:numRef>
          </c:cat>
          <c:val>
            <c:numRef>
              <c:f>Лист1!$F$2:$F$9</c:f>
              <c:numCache>
                <c:formatCode>General</c:formatCode>
                <c:ptCount val="8"/>
                <c:pt idx="0">
                  <c:v>0.3</c:v>
                </c:pt>
                <c:pt idx="1">
                  <c:v>12.7</c:v>
                </c:pt>
                <c:pt idx="2">
                  <c:v>4.4000000000000004</c:v>
                </c:pt>
                <c:pt idx="3">
                  <c:v>5.0999999999999996</c:v>
                </c:pt>
                <c:pt idx="4">
                  <c:v>4.2</c:v>
                </c:pt>
                <c:pt idx="5">
                  <c:v>2.9</c:v>
                </c:pt>
                <c:pt idx="6">
                  <c:v>4.9000000000000004</c:v>
                </c:pt>
                <c:pt idx="7">
                  <c:v>5.5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D7A-4402-A9EE-FC3924D17DCD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419148736"/>
        <c:axId val="419150304"/>
      </c:barChart>
      <c:catAx>
        <c:axId val="419148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419150304"/>
        <c:crosses val="autoZero"/>
        <c:auto val="1"/>
        <c:lblAlgn val="ctr"/>
        <c:lblOffset val="100"/>
        <c:noMultiLvlLbl val="0"/>
      </c:catAx>
      <c:valAx>
        <c:axId val="419150304"/>
        <c:scaling>
          <c:orientation val="minMax"/>
        </c:scaling>
        <c:delete val="1"/>
        <c:axPos val="l"/>
        <c:majorGridlines>
          <c:spPr>
            <a:ln>
              <a:noFill/>
            </a:ln>
          </c:spPr>
        </c:majorGridlines>
        <c:numFmt formatCode="General" sourceLinked="1"/>
        <c:majorTickMark val="out"/>
        <c:minorTickMark val="none"/>
        <c:tickLblPos val="nextTo"/>
        <c:crossAx val="419148736"/>
        <c:crosses val="autoZero"/>
        <c:crossBetween val="between"/>
      </c:valAx>
    </c:plotArea>
    <c:legend>
      <c:legendPos val="b"/>
      <c:legendEntry>
        <c:idx val="3"/>
        <c:txPr>
          <a:bodyPr/>
          <a:lstStyle/>
          <a:p>
            <a:pPr algn="just">
              <a:defRPr/>
            </a:pPr>
            <a:endParaRPr lang="ru-RU"/>
          </a:p>
        </c:txPr>
      </c:legendEntry>
      <c:layout>
        <c:manualLayout>
          <c:xMode val="edge"/>
          <c:yMode val="edge"/>
          <c:x val="3.3321861768749801E-2"/>
          <c:y val="0.72699765525427351"/>
          <c:w val="0.94402238317185705"/>
          <c:h val="0.24396666543652645"/>
        </c:manualLayout>
      </c:layout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effectLst>
              <a:innerShdw blurRad="63500" dist="50800">
                <a:prstClr val="black">
                  <a:alpha val="50000"/>
                </a:prstClr>
              </a:innerShdw>
            </a:effectLst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44450" h="25400" prst="angle"/>
              <a:bevelB w="152400" h="50800" prst="softRound"/>
            </a:sp3d>
          </c:spPr>
          <c:invertIfNegative val="0"/>
          <c:dPt>
            <c:idx val="19"/>
            <c:invertIfNegative val="0"/>
            <c:bubble3D val="0"/>
            <c:spPr>
              <a:solidFill>
                <a:schemeClr val="accent2"/>
              </a:solidFill>
              <a:ln>
                <a:solidFill>
                  <a:srgbClr val="C00000"/>
                </a:solidFill>
              </a:ln>
              <a:effectLst>
                <a:innerShdw blurRad="63500" dist="508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44450" h="25400" prst="angle"/>
                <a:bevelB w="152400" h="50800" prst="softRound"/>
              </a:sp3d>
            </c:spPr>
            <c:extLst>
              <c:ext xmlns:c16="http://schemas.microsoft.com/office/drawing/2014/chart" uri="{C3380CC4-5D6E-409C-BE32-E72D297353CC}">
                <c16:uniqueId val="{00000001-23DD-4495-9CC8-9EB336E77CF8}"/>
              </c:ext>
            </c:extLst>
          </c:dPt>
          <c:dPt>
            <c:idx val="31"/>
            <c:invertIfNegative val="0"/>
            <c:bubble3D val="0"/>
            <c:spPr>
              <a:solidFill>
                <a:schemeClr val="accent2"/>
              </a:solidFill>
              <a:ln>
                <a:solidFill>
                  <a:srgbClr val="C00000"/>
                </a:solidFill>
              </a:ln>
              <a:effectLst>
                <a:innerShdw blurRad="63500" dist="50800">
                  <a:prstClr val="black">
                    <a:alpha val="50000"/>
                  </a:prstClr>
                </a:inn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44450" h="25400" prst="angle"/>
                <a:bevelB w="152400" h="50800" prst="softRound"/>
              </a:sp3d>
            </c:spPr>
            <c:extLst>
              <c:ext xmlns:c16="http://schemas.microsoft.com/office/drawing/2014/chart" uri="{C3380CC4-5D6E-409C-BE32-E72D297353CC}">
                <c16:uniqueId val="{00000003-23DD-4495-9CC8-9EB336E77CF8}"/>
              </c:ext>
            </c:extLst>
          </c:dPt>
          <c:dLbls>
            <c:dLbl>
              <c:idx val="19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3DD-4495-9CC8-9EB336E77CF8}"/>
                </c:ext>
              </c:extLst>
            </c:dLbl>
            <c:dLbl>
              <c:idx val="31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3DD-4495-9CC8-9EB336E77CF8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Лист1!$A$2:$A$38</c:f>
              <c:strCache>
                <c:ptCount val="37"/>
                <c:pt idx="0">
                  <c:v>Norway</c:v>
                </c:pt>
                <c:pt idx="1">
                  <c:v>Germany</c:v>
                </c:pt>
                <c:pt idx="2">
                  <c:v>Denmark</c:v>
                </c:pt>
                <c:pt idx="3">
                  <c:v>Japan</c:v>
                </c:pt>
                <c:pt idx="4">
                  <c:v>Sweden</c:v>
                </c:pt>
                <c:pt idx="5">
                  <c:v>France</c:v>
                </c:pt>
                <c:pt idx="6">
                  <c:v>Czech Republic</c:v>
                </c:pt>
                <c:pt idx="7">
                  <c:v>Iceland</c:v>
                </c:pt>
                <c:pt idx="8">
                  <c:v>Luxembourg</c:v>
                </c:pt>
                <c:pt idx="9">
                  <c:v>Netherlands</c:v>
                </c:pt>
                <c:pt idx="10">
                  <c:v>Slovak Republic</c:v>
                </c:pt>
                <c:pt idx="11">
                  <c:v>Belgium</c:v>
                </c:pt>
                <c:pt idx="12">
                  <c:v>United Kingdom</c:v>
                </c:pt>
                <c:pt idx="13">
                  <c:v>New Zealand</c:v>
                </c:pt>
                <c:pt idx="14">
                  <c:v>Turkey</c:v>
                </c:pt>
                <c:pt idx="15">
                  <c:v>Estonia</c:v>
                </c:pt>
                <c:pt idx="16">
                  <c:v>Austria</c:v>
                </c:pt>
                <c:pt idx="17">
                  <c:v>Italy</c:v>
                </c:pt>
                <c:pt idx="18">
                  <c:v>Finland</c:v>
                </c:pt>
                <c:pt idx="19">
                  <c:v>OECD average</c:v>
                </c:pt>
                <c:pt idx="20">
                  <c:v>Slovenia</c:v>
                </c:pt>
                <c:pt idx="21">
                  <c:v>Ireland</c:v>
                </c:pt>
                <c:pt idx="22">
                  <c:v>Spain</c:v>
                </c:pt>
                <c:pt idx="23">
                  <c:v>Canada</c:v>
                </c:pt>
                <c:pt idx="24">
                  <c:v>Poland</c:v>
                </c:pt>
                <c:pt idx="25">
                  <c:v>Australia</c:v>
                </c:pt>
                <c:pt idx="26">
                  <c:v>Lithuania</c:v>
                </c:pt>
                <c:pt idx="27">
                  <c:v>Hungary</c:v>
                </c:pt>
                <c:pt idx="28">
                  <c:v>Portugal</c:v>
                </c:pt>
                <c:pt idx="29">
                  <c:v>Israel</c:v>
                </c:pt>
                <c:pt idx="30">
                  <c:v>Switzerland</c:v>
                </c:pt>
                <c:pt idx="31">
                  <c:v>Kazakhstan</c:v>
                </c:pt>
                <c:pt idx="32">
                  <c:v>Greece</c:v>
                </c:pt>
                <c:pt idx="33">
                  <c:v>Chile</c:v>
                </c:pt>
                <c:pt idx="34">
                  <c:v>Korea</c:v>
                </c:pt>
                <c:pt idx="35">
                  <c:v>Latvia</c:v>
                </c:pt>
                <c:pt idx="36">
                  <c:v>Mexico</c:v>
                </c:pt>
              </c:strCache>
            </c:strRef>
          </c:cat>
          <c:val>
            <c:numRef>
              <c:f>Лист1!$B$2:$B$38</c:f>
              <c:numCache>
                <c:formatCode>#,##0.0_ ;\-#,##0.0\ </c:formatCode>
                <c:ptCount val="37"/>
                <c:pt idx="0">
                  <c:v>14.994999999999999</c:v>
                </c:pt>
                <c:pt idx="1">
                  <c:v>14.996</c:v>
                </c:pt>
                <c:pt idx="2">
                  <c:v>15.811999999999999</c:v>
                </c:pt>
                <c:pt idx="3">
                  <c:v>15.829000000000001</c:v>
                </c:pt>
                <c:pt idx="4">
                  <c:v>16.41</c:v>
                </c:pt>
                <c:pt idx="5">
                  <c:v>17.007000000000001</c:v>
                </c:pt>
                <c:pt idx="6">
                  <c:v>17.831</c:v>
                </c:pt>
                <c:pt idx="7">
                  <c:v>17.96</c:v>
                </c:pt>
                <c:pt idx="8">
                  <c:v>18.353999999999999</c:v>
                </c:pt>
                <c:pt idx="9">
                  <c:v>18.716999999999999</c:v>
                </c:pt>
                <c:pt idx="10">
                  <c:v>19.481999999999999</c:v>
                </c:pt>
                <c:pt idx="11">
                  <c:v>21.231000000000002</c:v>
                </c:pt>
                <c:pt idx="12">
                  <c:v>21.295000000000002</c:v>
                </c:pt>
                <c:pt idx="13">
                  <c:v>21.413</c:v>
                </c:pt>
                <c:pt idx="14">
                  <c:v>21.747</c:v>
                </c:pt>
                <c:pt idx="15">
                  <c:v>23.952999999999999</c:v>
                </c:pt>
                <c:pt idx="16">
                  <c:v>25.67</c:v>
                </c:pt>
                <c:pt idx="17">
                  <c:v>25.97</c:v>
                </c:pt>
                <c:pt idx="18">
                  <c:v>26.236999999999998</c:v>
                </c:pt>
                <c:pt idx="19">
                  <c:v>26.8</c:v>
                </c:pt>
                <c:pt idx="20">
                  <c:v>27.091000000000001</c:v>
                </c:pt>
                <c:pt idx="21">
                  <c:v>27.431999999999999</c:v>
                </c:pt>
                <c:pt idx="22">
                  <c:v>29.225999999999999</c:v>
                </c:pt>
                <c:pt idx="23">
                  <c:v>29.925999999999998</c:v>
                </c:pt>
                <c:pt idx="24">
                  <c:v>30.835000000000001</c:v>
                </c:pt>
                <c:pt idx="25">
                  <c:v>31.555</c:v>
                </c:pt>
                <c:pt idx="26">
                  <c:v>33.093000000000004</c:v>
                </c:pt>
                <c:pt idx="27">
                  <c:v>33.237000000000002</c:v>
                </c:pt>
                <c:pt idx="28">
                  <c:v>33.353999999999999</c:v>
                </c:pt>
                <c:pt idx="29">
                  <c:v>37.167000000000002</c:v>
                </c:pt>
                <c:pt idx="30">
                  <c:v>37.192</c:v>
                </c:pt>
                <c:pt idx="31">
                  <c:v>37.9</c:v>
                </c:pt>
                <c:pt idx="32">
                  <c:v>38.774999999999999</c:v>
                </c:pt>
                <c:pt idx="33">
                  <c:v>39.19</c:v>
                </c:pt>
                <c:pt idx="34">
                  <c:v>41.777000000000001</c:v>
                </c:pt>
                <c:pt idx="35">
                  <c:v>45.372</c:v>
                </c:pt>
                <c:pt idx="36">
                  <c:v>48.438000000000002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3DD-4495-9CC8-9EB336E77C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6"/>
        <c:axId val="419149128"/>
        <c:axId val="419151480"/>
      </c:barChart>
      <c:catAx>
        <c:axId val="4191491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419151480"/>
        <c:crosses val="autoZero"/>
        <c:auto val="1"/>
        <c:lblAlgn val="ctr"/>
        <c:lblOffset val="100"/>
        <c:noMultiLvlLbl val="0"/>
      </c:catAx>
      <c:valAx>
        <c:axId val="419151480"/>
        <c:scaling>
          <c:orientation val="minMax"/>
        </c:scaling>
        <c:delete val="0"/>
        <c:axPos val="l"/>
        <c:majorGridlines>
          <c:spPr>
            <a:ln>
              <a:noFill/>
            </a:ln>
          </c:spPr>
        </c:majorGridlines>
        <c:numFmt formatCode="#,##0.0_ ;\-#,##0.0\ " sourceLinked="1"/>
        <c:majorTickMark val="out"/>
        <c:minorTickMark val="none"/>
        <c:tickLblPos val="nextTo"/>
        <c:crossAx val="419149128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B71D0-CBA9-439F-B407-52800C826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Ищанова Айганым Бахытжановна</dc:creator>
  <cp:lastModifiedBy>Admin</cp:lastModifiedBy>
  <cp:revision>2</cp:revision>
  <cp:lastPrinted>2018-12-27T08:31:00Z</cp:lastPrinted>
  <dcterms:created xsi:type="dcterms:W3CDTF">2018-12-27T08:39:00Z</dcterms:created>
  <dcterms:modified xsi:type="dcterms:W3CDTF">2018-12-27T08:39:00Z</dcterms:modified>
</cp:coreProperties>
</file>